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79B172" w14:textId="3BC32672" w:rsidR="006710E9" w:rsidRDefault="00D6234B" w:rsidP="00987142">
      <w:pPr>
        <w:pStyle w:val="Heading2"/>
      </w:pPr>
      <w:r w:rsidRPr="005442EA">
        <w:rPr>
          <w:noProof/>
        </w:rPr>
        <w:drawing>
          <wp:anchor distT="0" distB="0" distL="114300" distR="114300" simplePos="0" relativeHeight="251665408" behindDoc="0" locked="0" layoutInCell="1" allowOverlap="1" wp14:anchorId="1FCE6551" wp14:editId="7CF61E25">
            <wp:simplePos x="0" y="0"/>
            <wp:positionH relativeFrom="column">
              <wp:posOffset>846653</wp:posOffset>
            </wp:positionH>
            <wp:positionV relativeFrom="paragraph">
              <wp:posOffset>-235346</wp:posOffset>
            </wp:positionV>
            <wp:extent cx="1979802" cy="932751"/>
            <wp:effectExtent l="0" t="0" r="1905" b="0"/>
            <wp:wrapNone/>
            <wp:docPr id="56659324" name="Picture 2" descr="A logo with blue and green wav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59324" name="Picture 2" descr="A logo with blue and green waves&#10;&#10;AI-generated content may be incorrect."/>
                    <pic:cNvPicPr/>
                  </pic:nvPicPr>
                  <pic:blipFill rotWithShape="1">
                    <a:blip r:embed="rId8" cstate="print">
                      <a:extLst>
                        <a:ext uri="{28A0092B-C50C-407E-A947-70E740481C1C}">
                          <a14:useLocalDpi xmlns:a14="http://schemas.microsoft.com/office/drawing/2010/main" val="0"/>
                        </a:ext>
                      </a:extLst>
                    </a:blip>
                    <a:srcRect l="12123" r="19706" b="15335"/>
                    <a:stretch/>
                  </pic:blipFill>
                  <pic:spPr bwMode="auto">
                    <a:xfrm>
                      <a:off x="0" y="0"/>
                      <a:ext cx="1979802" cy="93275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6673713" w14:textId="77777777" w:rsidR="00D6234B" w:rsidRDefault="00D6234B" w:rsidP="00987142">
      <w:pPr>
        <w:pStyle w:val="Heading2"/>
      </w:pPr>
    </w:p>
    <w:p w14:paraId="3515BFC9" w14:textId="77777777" w:rsidR="00987142" w:rsidRDefault="00987142" w:rsidP="00987142">
      <w:pPr>
        <w:pStyle w:val="Heading2"/>
      </w:pPr>
    </w:p>
    <w:p w14:paraId="6FD0BE6E" w14:textId="2305EB04" w:rsidR="11AC5B17" w:rsidRPr="00987142" w:rsidRDefault="00452CA4" w:rsidP="00987142">
      <w:pPr>
        <w:pStyle w:val="Heading2"/>
      </w:pPr>
      <w:r w:rsidRPr="009704E1">
        <w:t>POLICY BRIEF</w:t>
      </w:r>
    </w:p>
    <w:p w14:paraId="5CDE38B2" w14:textId="43FAB6B1" w:rsidR="00E13CEC" w:rsidRDefault="00C91AAF" w:rsidP="00E13CEC">
      <w:pPr>
        <w:pStyle w:val="NoSpacing"/>
        <w:spacing w:line="259" w:lineRule="auto"/>
        <w:ind w:left="1701"/>
        <w:rPr>
          <w:b/>
          <w:bCs/>
          <w:color w:val="00545B"/>
          <w:sz w:val="40"/>
          <w:szCs w:val="40"/>
        </w:rPr>
      </w:pPr>
      <w:r w:rsidRPr="00717765">
        <w:rPr>
          <w:b/>
          <w:bCs/>
          <w:color w:val="00545B"/>
          <w:sz w:val="40"/>
          <w:szCs w:val="40"/>
        </w:rPr>
        <w:t>T</w:t>
      </w:r>
      <w:r w:rsidR="7CD4215E" w:rsidRPr="00717765">
        <w:rPr>
          <w:b/>
          <w:bCs/>
          <w:color w:val="00545B"/>
          <w:sz w:val="40"/>
          <w:szCs w:val="40"/>
        </w:rPr>
        <w:t xml:space="preserve">he global anti-rights agenda </w:t>
      </w:r>
      <w:r w:rsidR="003E11F0" w:rsidRPr="00717765">
        <w:rPr>
          <w:b/>
          <w:bCs/>
          <w:color w:val="00545B"/>
          <w:sz w:val="40"/>
          <w:szCs w:val="40"/>
        </w:rPr>
        <w:t xml:space="preserve">and </w:t>
      </w:r>
      <w:r w:rsidRPr="00717765">
        <w:rPr>
          <w:b/>
          <w:bCs/>
          <w:color w:val="00545B"/>
          <w:sz w:val="40"/>
          <w:szCs w:val="40"/>
        </w:rPr>
        <w:t>threats to</w:t>
      </w:r>
      <w:r w:rsidR="7CD4215E" w:rsidRPr="00717765">
        <w:rPr>
          <w:b/>
          <w:bCs/>
          <w:color w:val="00545B"/>
          <w:sz w:val="40"/>
          <w:szCs w:val="40"/>
        </w:rPr>
        <w:t xml:space="preserve"> sexual and reproductive health and rights </w:t>
      </w:r>
    </w:p>
    <w:p w14:paraId="173CDDC5" w14:textId="77777777" w:rsidR="00987142" w:rsidRPr="00987142" w:rsidRDefault="00987142" w:rsidP="00987142">
      <w:pPr>
        <w:pStyle w:val="NoSpacing"/>
      </w:pPr>
    </w:p>
    <w:p w14:paraId="65EF14EE" w14:textId="77777777" w:rsidR="00987142" w:rsidRPr="00987142" w:rsidRDefault="00987142" w:rsidP="00987142">
      <w:pPr>
        <w:pStyle w:val="Heading2"/>
      </w:pPr>
      <w:r w:rsidRPr="00987142">
        <w:t>International Sexual and Reproductive Health and Rights Consortium</w:t>
      </w:r>
    </w:p>
    <w:p w14:paraId="2754F474" w14:textId="7D6557A0" w:rsidR="00D833B3" w:rsidRPr="00987142" w:rsidRDefault="00452CA4" w:rsidP="00987142">
      <w:pPr>
        <w:pStyle w:val="Heading2"/>
      </w:pPr>
      <w:r w:rsidRPr="00987142">
        <w:t>2</w:t>
      </w:r>
      <w:r w:rsidR="00336755">
        <w:t>1</w:t>
      </w:r>
      <w:r w:rsidR="65A1CE80" w:rsidRPr="00987142">
        <w:t xml:space="preserve"> March 2025</w:t>
      </w:r>
    </w:p>
    <w:p w14:paraId="1FDA1B1D" w14:textId="77777777" w:rsidR="00E13CEC" w:rsidRDefault="00E13CEC" w:rsidP="0021371B">
      <w:pPr>
        <w:ind w:left="0"/>
        <w:rPr>
          <w:b/>
          <w:bCs/>
        </w:rPr>
      </w:pPr>
    </w:p>
    <w:p w14:paraId="0AD45857" w14:textId="470EDA50" w:rsidR="6985FBA7" w:rsidRDefault="6985FBA7" w:rsidP="00452CA4">
      <w:pPr>
        <w:rPr>
          <w:b/>
          <w:bCs/>
        </w:rPr>
      </w:pPr>
      <w:r w:rsidRPr="00E54840">
        <w:rPr>
          <w:b/>
          <w:bCs/>
        </w:rPr>
        <w:t xml:space="preserve">This policy brief describes the significant and increasing threats to sexual and reproductive health and rights (SRHR) resulting from the global anti-rights agenda. </w:t>
      </w:r>
    </w:p>
    <w:p w14:paraId="40D98E7B" w14:textId="72E588B3" w:rsidR="00E54840" w:rsidRPr="00E54840" w:rsidRDefault="00974195" w:rsidP="00974195">
      <w:pPr>
        <w:ind w:left="0"/>
        <w:rPr>
          <w:b/>
          <w:bCs/>
        </w:rPr>
      </w:pPr>
      <w:r>
        <w:rPr>
          <w:noProof/>
        </w:rPr>
        <mc:AlternateContent>
          <mc:Choice Requires="wps">
            <w:drawing>
              <wp:anchor distT="0" distB="0" distL="114300" distR="114300" simplePos="0" relativeHeight="251659264" behindDoc="0" locked="0" layoutInCell="1" allowOverlap="1" wp14:anchorId="7CA1F9E8" wp14:editId="2779DA5D">
                <wp:simplePos x="0" y="0"/>
                <wp:positionH relativeFrom="column">
                  <wp:posOffset>1082180</wp:posOffset>
                </wp:positionH>
                <wp:positionV relativeFrom="paragraph">
                  <wp:posOffset>101932</wp:posOffset>
                </wp:positionV>
                <wp:extent cx="4672668" cy="0"/>
                <wp:effectExtent l="0" t="0" r="13970" b="12700"/>
                <wp:wrapNone/>
                <wp:docPr id="1465948594" name="Straight Connector 3"/>
                <wp:cNvGraphicFramePr/>
                <a:graphic xmlns:a="http://schemas.openxmlformats.org/drawingml/2006/main">
                  <a:graphicData uri="http://schemas.microsoft.com/office/word/2010/wordprocessingShape">
                    <wps:wsp>
                      <wps:cNvCnPr/>
                      <wps:spPr>
                        <a:xfrm>
                          <a:off x="0" y="0"/>
                          <a:ext cx="4672668"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0743A437" id="Straight Connector 3"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2pt,8.05pt" to="453.15pt,8.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" strokecolor="#156082 [3204]" strokeweight="1pt">
                <v:stroke joinstyle="miter"/>
              </v:line>
            </w:pict>
          </mc:Fallback>
        </mc:AlternateContent>
      </w:r>
    </w:p>
    <w:p w14:paraId="019FE124" w14:textId="0CD4BEDF" w:rsidR="00974195" w:rsidRPr="00732B0F" w:rsidRDefault="006710E9" w:rsidP="00987142">
      <w:pPr>
        <w:pStyle w:val="Heading2"/>
      </w:pPr>
      <w:r>
        <w:t>KEY MESSAGES</w:t>
      </w:r>
    </w:p>
    <w:p w14:paraId="632EB267" w14:textId="11BD5B25" w:rsidR="00732B0F" w:rsidRPr="00732B0F" w:rsidRDefault="00732B0F" w:rsidP="00732B0F">
      <w:pPr>
        <w:pStyle w:val="ListParagraph"/>
        <w:numPr>
          <w:ilvl w:val="0"/>
          <w:numId w:val="12"/>
        </w:numPr>
      </w:pPr>
      <w:r w:rsidRPr="00732B0F">
        <w:rPr>
          <w:b/>
          <w:bCs/>
        </w:rPr>
        <w:t xml:space="preserve">The </w:t>
      </w:r>
      <w:r w:rsidRPr="00732B0F">
        <w:rPr>
          <w:b/>
          <w:bCs/>
          <w:i/>
          <w:iCs/>
        </w:rPr>
        <w:t>anti-rights agenda</w:t>
      </w:r>
      <w:r w:rsidRPr="00732B0F">
        <w:rPr>
          <w:b/>
          <w:bCs/>
        </w:rPr>
        <w:t xml:space="preserve"> refers to a coordinated effort to roll back, restrict, or undermine internationally recognized human rights</w:t>
      </w:r>
      <w:r w:rsidRPr="00732B0F">
        <w:t xml:space="preserve">, particularly those related to SRHR, gender equality, LGBTQIA+ rights, and the rights of marginalised groups. </w:t>
      </w:r>
    </w:p>
    <w:p w14:paraId="117F0671" w14:textId="63B7111B" w:rsidR="00732B0F" w:rsidRPr="00732B0F" w:rsidRDefault="00732B0F" w:rsidP="00732B0F">
      <w:pPr>
        <w:pStyle w:val="ListParagraph"/>
        <w:numPr>
          <w:ilvl w:val="0"/>
          <w:numId w:val="12"/>
        </w:numPr>
      </w:pPr>
      <w:r w:rsidRPr="00732B0F">
        <w:rPr>
          <w:b/>
        </w:rPr>
        <w:t>Anti-rights action is growing among diverse movements, networks, organisations, and individuals</w:t>
      </w:r>
      <w:r w:rsidRPr="00732B0F">
        <w:t xml:space="preserve"> who are well-funded, coordinated, and increasingly influential in political forums, with a consolidation of power fuelled by social division and the undermining of democratic processes.</w:t>
      </w:r>
    </w:p>
    <w:p w14:paraId="5126DB8A" w14:textId="1011E1C9" w:rsidR="00732B0F" w:rsidRPr="00732B0F" w:rsidRDefault="00732B0F" w:rsidP="00732B0F">
      <w:pPr>
        <w:pStyle w:val="ListParagraph"/>
        <w:numPr>
          <w:ilvl w:val="0"/>
          <w:numId w:val="12"/>
        </w:numPr>
      </w:pPr>
      <w:r w:rsidRPr="00732B0F">
        <w:rPr>
          <w:b/>
          <w:bCs/>
        </w:rPr>
        <w:t>Tangible impacts of long-term, mainstreamed anti-rights action are emerging,</w:t>
      </w:r>
      <w:r w:rsidRPr="00732B0F">
        <w:t xml:space="preserve"> including the expansion and reinstatement of the </w:t>
      </w:r>
      <w:r w:rsidRPr="00732B0F">
        <w:rPr>
          <w:i/>
          <w:iCs/>
        </w:rPr>
        <w:t>Mexico City Policy</w:t>
      </w:r>
      <w:r w:rsidRPr="00732B0F">
        <w:t xml:space="preserve"> and the overturning of the protective legal precedent of </w:t>
      </w:r>
      <w:r w:rsidRPr="00732B0F">
        <w:rPr>
          <w:i/>
          <w:iCs/>
        </w:rPr>
        <w:t xml:space="preserve">Roe v. Wade </w:t>
      </w:r>
      <w:r w:rsidRPr="00732B0F">
        <w:t xml:space="preserve">in the U.S., and the multi-country signatories to the </w:t>
      </w:r>
      <w:r w:rsidRPr="00732B0F">
        <w:rPr>
          <w:i/>
          <w:iCs/>
        </w:rPr>
        <w:t>Geneva Consensus Declaration</w:t>
      </w:r>
      <w:r w:rsidRPr="00732B0F">
        <w:t>.</w:t>
      </w:r>
    </w:p>
    <w:p w14:paraId="5AC129B4" w14:textId="094E5F96" w:rsidR="00732B0F" w:rsidRPr="00732B0F" w:rsidRDefault="00732B0F" w:rsidP="00732B0F">
      <w:pPr>
        <w:pStyle w:val="ListParagraph"/>
        <w:numPr>
          <w:ilvl w:val="0"/>
          <w:numId w:val="12"/>
        </w:numPr>
      </w:pPr>
      <w:r w:rsidRPr="00732B0F">
        <w:rPr>
          <w:b/>
          <w:bCs/>
        </w:rPr>
        <w:t xml:space="preserve">Universal SRHR and human rights for all people </w:t>
      </w:r>
      <w:r w:rsidRPr="00732B0F">
        <w:rPr>
          <w:b/>
          <w:bCs/>
          <w:i/>
          <w:iCs/>
        </w:rPr>
        <w:t>will not be achieved</w:t>
      </w:r>
      <w:r w:rsidRPr="00732B0F">
        <w:rPr>
          <w:b/>
          <w:bCs/>
        </w:rPr>
        <w:t xml:space="preserve"> in an environment of increasingly restrictive policy and legal frameworks.</w:t>
      </w:r>
      <w:r w:rsidRPr="00732B0F">
        <w:t xml:space="preserve"> The threat to universal SRHR is urgent and far-reaching.</w:t>
      </w:r>
    </w:p>
    <w:p w14:paraId="3F69BFCC" w14:textId="0F24157F" w:rsidR="00732B0F" w:rsidRPr="00732B0F" w:rsidRDefault="00732B0F" w:rsidP="00732B0F">
      <w:pPr>
        <w:pStyle w:val="ListParagraph"/>
        <w:numPr>
          <w:ilvl w:val="0"/>
          <w:numId w:val="12"/>
        </w:numPr>
      </w:pPr>
      <w:r w:rsidRPr="00732B0F">
        <w:rPr>
          <w:b/>
          <w:bCs/>
        </w:rPr>
        <w:t>International funding and commitments to SRHR are declining</w:t>
      </w:r>
      <w:r w:rsidRPr="00732B0F">
        <w:t>, even among nations that have long been champions and investors in SRHR and global health.</w:t>
      </w:r>
    </w:p>
    <w:p w14:paraId="1CA66A12" w14:textId="2D3F1B68" w:rsidR="00974195" w:rsidRDefault="00732B0F" w:rsidP="00732B0F">
      <w:pPr>
        <w:pStyle w:val="ListParagraph"/>
        <w:numPr>
          <w:ilvl w:val="0"/>
          <w:numId w:val="12"/>
        </w:numPr>
      </w:pPr>
      <w:r w:rsidRPr="00732B0F">
        <w:rPr>
          <w:b/>
          <w:bCs/>
        </w:rPr>
        <w:t>Australia must translate its demonstrated commitment to SRHR, gender equality, and human rights into concrete action</w:t>
      </w:r>
      <w:r w:rsidRPr="00732B0F">
        <w:t xml:space="preserve"> with greater investment, </w:t>
      </w:r>
      <w:r w:rsidR="00E13CEC" w:rsidRPr="00732B0F">
        <w:t>leadership,</w:t>
      </w:r>
      <w:r w:rsidR="00E13CEC" w:rsidRPr="00204381">
        <w:rPr>
          <w:noProof/>
        </w:rPr>
        <w:t xml:space="preserve"> </w:t>
      </w:r>
      <w:r w:rsidR="00E13CEC" w:rsidRPr="00732B0F">
        <w:t>and</w:t>
      </w:r>
      <w:r w:rsidRPr="00732B0F">
        <w:t xml:space="preserve"> collaboration in multilateral forums.</w:t>
      </w:r>
    </w:p>
    <w:p w14:paraId="12191041" w14:textId="5E4244D8" w:rsidR="6985FBA7" w:rsidRDefault="0093266B" w:rsidP="6985FBA7">
      <w:pPr>
        <w:pStyle w:val="NoSpacing"/>
      </w:pPr>
      <w:r>
        <w:rPr>
          <w:noProof/>
        </w:rPr>
        <w:lastRenderedPageBreak/>
        <mc:AlternateContent>
          <mc:Choice Requires="wps">
            <w:drawing>
              <wp:anchor distT="0" distB="0" distL="114300" distR="114300" simplePos="0" relativeHeight="251661312" behindDoc="0" locked="0" layoutInCell="1" allowOverlap="1" wp14:anchorId="52156856" wp14:editId="7D0C1065">
                <wp:simplePos x="0" y="0"/>
                <wp:positionH relativeFrom="column">
                  <wp:posOffset>1082180</wp:posOffset>
                </wp:positionH>
                <wp:positionV relativeFrom="paragraph">
                  <wp:posOffset>67094</wp:posOffset>
                </wp:positionV>
                <wp:extent cx="4672330" cy="0"/>
                <wp:effectExtent l="0" t="0" r="13970" b="12700"/>
                <wp:wrapNone/>
                <wp:docPr id="1736027846" name="Straight Connector 3"/>
                <wp:cNvGraphicFramePr/>
                <a:graphic xmlns:a="http://schemas.openxmlformats.org/drawingml/2006/main">
                  <a:graphicData uri="http://schemas.microsoft.com/office/word/2010/wordprocessingShape">
                    <wps:wsp>
                      <wps:cNvCnPr/>
                      <wps:spPr>
                        <a:xfrm>
                          <a:off x="0" y="0"/>
                          <a:ext cx="467233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40553D13" id="Straight Connector 3"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2pt,5.3pt" to="453.1pt,5.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" strokecolor="#156082 [3204]" strokeweight="1pt">
                <v:stroke joinstyle="miter"/>
              </v:line>
            </w:pict>
          </mc:Fallback>
        </mc:AlternateContent>
      </w:r>
    </w:p>
    <w:p w14:paraId="6DB434B7" w14:textId="5CFD52C9" w:rsidR="00A17BF7" w:rsidRDefault="00D6234B" w:rsidP="00987142">
      <w:pPr>
        <w:pStyle w:val="Heading2"/>
      </w:pPr>
      <w:r>
        <w:t>THE ISSUE</w:t>
      </w:r>
    </w:p>
    <w:p w14:paraId="07547AC1" w14:textId="29EBF4FE" w:rsidR="00CD7859" w:rsidRDefault="006E11D7" w:rsidP="00452CA4">
      <w:r w:rsidRPr="002E3FF2">
        <w:rPr>
          <w:b/>
          <w:bCs/>
        </w:rPr>
        <w:t xml:space="preserve">Hard-won progress on SRHR is being eroded </w:t>
      </w:r>
      <w:r w:rsidR="00B94A46" w:rsidRPr="002E3FF2">
        <w:rPr>
          <w:b/>
          <w:bCs/>
        </w:rPr>
        <w:t xml:space="preserve">by policies and legal frameworks </w:t>
      </w:r>
      <w:r w:rsidR="00FF62DF" w:rsidRPr="002E3FF2">
        <w:rPr>
          <w:b/>
          <w:bCs/>
        </w:rPr>
        <w:t>that restrict</w:t>
      </w:r>
      <w:r w:rsidR="00B94A46" w:rsidRPr="002E3FF2">
        <w:rPr>
          <w:b/>
          <w:bCs/>
        </w:rPr>
        <w:t xml:space="preserve"> </w:t>
      </w:r>
      <w:r w:rsidR="00BD4DB1" w:rsidRPr="002E3FF2">
        <w:rPr>
          <w:b/>
          <w:bCs/>
        </w:rPr>
        <w:t>access to education, healthcare, and human rights protections</w:t>
      </w:r>
      <w:r w:rsidR="00103E93" w:rsidRPr="002E3FF2">
        <w:rPr>
          <w:b/>
          <w:bCs/>
        </w:rPr>
        <w:t>, particularly for marginalised groups.</w:t>
      </w:r>
      <w:r w:rsidR="00AA1AF4">
        <w:t xml:space="preserve"> SRHR themes </w:t>
      </w:r>
      <w:r w:rsidR="00A06877">
        <w:t xml:space="preserve">are </w:t>
      </w:r>
      <w:r w:rsidR="00AA1AF4">
        <w:t xml:space="preserve">key wedge issues in </w:t>
      </w:r>
      <w:r w:rsidR="00706F6A">
        <w:t xml:space="preserve">the broader context of </w:t>
      </w:r>
      <w:r w:rsidR="00D344CF">
        <w:t>democratic destabilisation</w:t>
      </w:r>
      <w:r w:rsidR="000E7D4E">
        <w:t xml:space="preserve"> and</w:t>
      </w:r>
      <w:r w:rsidR="00872905">
        <w:t xml:space="preserve"> the consolidation of power</w:t>
      </w:r>
      <w:r w:rsidR="00E165D1">
        <w:t xml:space="preserve"> </w:t>
      </w:r>
      <w:r w:rsidR="0042157D">
        <w:t>by anti-rights actors</w:t>
      </w:r>
      <w:r w:rsidR="00CD7859">
        <w:t xml:space="preserve">. </w:t>
      </w:r>
      <w:r w:rsidR="00BC6465">
        <w:t xml:space="preserve">Increasingly, </w:t>
      </w:r>
      <w:r w:rsidR="00CD7859">
        <w:t xml:space="preserve">social division </w:t>
      </w:r>
      <w:r w:rsidR="00B05F52">
        <w:t>on</w:t>
      </w:r>
      <w:r w:rsidR="00CD7859">
        <w:t xml:space="preserve"> </w:t>
      </w:r>
      <w:r w:rsidR="00C1186B">
        <w:t>human rights and gender equality</w:t>
      </w:r>
      <w:r w:rsidR="00CD7859">
        <w:t xml:space="preserve"> issues are </w:t>
      </w:r>
      <w:r w:rsidR="00BC6465">
        <w:t xml:space="preserve">being </w:t>
      </w:r>
      <w:r w:rsidR="00CD7859">
        <w:t>leveraged to</w:t>
      </w:r>
      <w:r w:rsidR="004A58BF">
        <w:t xml:space="preserve"> </w:t>
      </w:r>
      <w:r w:rsidR="00FC0E8B">
        <w:t>achieve</w:t>
      </w:r>
      <w:r w:rsidR="004A58BF">
        <w:t xml:space="preserve"> </w:t>
      </w:r>
      <w:r w:rsidR="00266D83">
        <w:t>the</w:t>
      </w:r>
      <w:r w:rsidR="004A58BF">
        <w:t xml:space="preserve"> roll-back o</w:t>
      </w:r>
      <w:r w:rsidR="00F94CEC">
        <w:t>f SRHR</w:t>
      </w:r>
      <w:r w:rsidR="004A58BF">
        <w:t>.</w:t>
      </w:r>
    </w:p>
    <w:p w14:paraId="007807D8" w14:textId="43E90EAC" w:rsidR="001257BC" w:rsidRDefault="00907E7B" w:rsidP="00452CA4">
      <w:pPr>
        <w:rPr>
          <w:highlight w:val="yellow"/>
        </w:rPr>
      </w:pPr>
      <w:r>
        <w:rPr>
          <w:b/>
          <w:bCs/>
        </w:rPr>
        <w:t>W</w:t>
      </w:r>
      <w:r w:rsidR="1EDD49D5" w:rsidRPr="40B9B7E9">
        <w:rPr>
          <w:b/>
          <w:bCs/>
        </w:rPr>
        <w:t>omen, adolescents, and marginalised groups</w:t>
      </w:r>
      <w:r w:rsidR="007349C5">
        <w:rPr>
          <w:b/>
          <w:bCs/>
        </w:rPr>
        <w:t xml:space="preserve"> are disproportionately affected by anti-rights</w:t>
      </w:r>
      <w:r>
        <w:rPr>
          <w:b/>
          <w:bCs/>
        </w:rPr>
        <w:t xml:space="preserve"> action</w:t>
      </w:r>
      <w:r w:rsidR="1EDD49D5" w:rsidRPr="40B9B7E9">
        <w:rPr>
          <w:b/>
          <w:bCs/>
        </w:rPr>
        <w:t>.</w:t>
      </w:r>
      <w:r w:rsidR="1EDD49D5">
        <w:t xml:space="preserve"> This</w:t>
      </w:r>
      <w:r w:rsidR="007F03A8">
        <w:t xml:space="preserve"> </w:t>
      </w:r>
      <w:r w:rsidR="1EDD49D5">
        <w:t>includes reduced access</w:t>
      </w:r>
      <w:r w:rsidR="17C39C73">
        <w:t xml:space="preserve"> to reproductive health care through pro-natalist</w:t>
      </w:r>
      <w:r w:rsidR="00794782" w:rsidRPr="4E5EA64A">
        <w:rPr>
          <w:rStyle w:val="FootnoteReference"/>
        </w:rPr>
        <w:footnoteReference w:id="1"/>
      </w:r>
      <w:r w:rsidR="24004E60">
        <w:t xml:space="preserve"> </w:t>
      </w:r>
      <w:r w:rsidR="0010499D">
        <w:t xml:space="preserve">policies which seek to limit reproductive choice. </w:t>
      </w:r>
      <w:r w:rsidR="17C39C73">
        <w:t>T</w:t>
      </w:r>
      <w:r w:rsidR="17C39C73" w:rsidRPr="00BB6AAD">
        <w:t xml:space="preserve">he overturning of the legal precedent of </w:t>
      </w:r>
      <w:r w:rsidR="17C39C73" w:rsidRPr="18801BAD">
        <w:rPr>
          <w:i/>
          <w:iCs/>
        </w:rPr>
        <w:t>Roe v. Wade</w:t>
      </w:r>
      <w:r w:rsidR="17C39C73" w:rsidRPr="00BB6AAD">
        <w:rPr>
          <w:vertAlign w:val="superscript"/>
        </w:rPr>
        <w:footnoteReference w:id="2"/>
      </w:r>
      <w:r w:rsidR="17C39C73">
        <w:t xml:space="preserve"> </w:t>
      </w:r>
      <w:r w:rsidR="005D49E6">
        <w:t xml:space="preserve">in 2022 </w:t>
      </w:r>
      <w:r w:rsidR="00E47F95">
        <w:t>en</w:t>
      </w:r>
      <w:r w:rsidR="008601B1">
        <w:t>ded</w:t>
      </w:r>
      <w:r w:rsidR="00C25096">
        <w:t xml:space="preserve"> U</w:t>
      </w:r>
      <w:r w:rsidR="00141164">
        <w:t>.</w:t>
      </w:r>
      <w:r w:rsidR="00C25096">
        <w:t>S</w:t>
      </w:r>
      <w:r w:rsidR="00141164">
        <w:t>.</w:t>
      </w:r>
      <w:r w:rsidR="008601B1">
        <w:t xml:space="preserve"> federal protection for abortion rights </w:t>
      </w:r>
      <w:r w:rsidR="002369D1">
        <w:t xml:space="preserve">and led to immediate restrictions </w:t>
      </w:r>
      <w:r w:rsidR="00CA1AC2">
        <w:t>and</w:t>
      </w:r>
      <w:r w:rsidR="002369D1">
        <w:t xml:space="preserve"> bans</w:t>
      </w:r>
      <w:r w:rsidR="005D49E6">
        <w:t xml:space="preserve"> on abortion services</w:t>
      </w:r>
      <w:r w:rsidR="002369D1">
        <w:t xml:space="preserve"> in many states</w:t>
      </w:r>
      <w:r w:rsidR="00C051CC">
        <w:t xml:space="preserve"> across the </w:t>
      </w:r>
      <w:r w:rsidR="00C25096">
        <w:t>country</w:t>
      </w:r>
      <w:r w:rsidR="0010499D">
        <w:rPr>
          <w:rStyle w:val="EndnoteReference"/>
        </w:rPr>
        <w:endnoteReference w:id="1"/>
      </w:r>
      <w:r w:rsidR="0010499D">
        <w:t>.</w:t>
      </w:r>
      <w:r w:rsidR="00843B64">
        <w:t xml:space="preserve"> </w:t>
      </w:r>
      <w:r w:rsidR="00E7491B">
        <w:t>This ruling emboldened anti-rights actors in the U.S. and beyond</w:t>
      </w:r>
      <w:r w:rsidR="00E0759E">
        <w:t>,</w:t>
      </w:r>
      <w:r w:rsidR="00E7491B">
        <w:t xml:space="preserve"> </w:t>
      </w:r>
      <w:r w:rsidR="005E41AC">
        <w:t>with</w:t>
      </w:r>
      <w:r w:rsidR="00E0759E">
        <w:t xml:space="preserve"> </w:t>
      </w:r>
      <w:r w:rsidR="00FE25D0">
        <w:t xml:space="preserve">increasing threats to critical areas of sexual and reproductive autonomy, such as </w:t>
      </w:r>
      <w:r w:rsidR="00E0759E">
        <w:t>restrict</w:t>
      </w:r>
      <w:r w:rsidR="25FC5528">
        <w:t>ing</w:t>
      </w:r>
      <w:r w:rsidR="000F6EA0">
        <w:t xml:space="preserve"> </w:t>
      </w:r>
      <w:r w:rsidR="25FC5528">
        <w:t xml:space="preserve">access to comprehensive </w:t>
      </w:r>
      <w:r w:rsidR="000F6EA0">
        <w:t>sexuality education</w:t>
      </w:r>
      <w:r w:rsidR="00E7491B">
        <w:t xml:space="preserve"> and</w:t>
      </w:r>
      <w:r w:rsidR="000F6EA0">
        <w:t xml:space="preserve"> pushing for </w:t>
      </w:r>
      <w:r w:rsidR="25FC5528">
        <w:t xml:space="preserve">legislative reform to restrict </w:t>
      </w:r>
      <w:r w:rsidR="002017ED">
        <w:t xml:space="preserve">abortion </w:t>
      </w:r>
      <w:r w:rsidR="25FC5528">
        <w:t>care</w:t>
      </w:r>
      <w:r w:rsidR="0010499D">
        <w:t xml:space="preserve">. </w:t>
      </w:r>
    </w:p>
    <w:p w14:paraId="0C6E58ED" w14:textId="7A4662FD" w:rsidR="003C0DEA" w:rsidRDefault="00B3341F" w:rsidP="00452CA4">
      <w:pPr>
        <w:rPr>
          <w:rStyle w:val="EndnoteReference"/>
        </w:rPr>
      </w:pPr>
      <w:r w:rsidRPr="002E3FF2">
        <w:rPr>
          <w:b/>
          <w:bCs/>
        </w:rPr>
        <w:t>T</w:t>
      </w:r>
      <w:r w:rsidR="0057387B" w:rsidRPr="002E3FF2">
        <w:rPr>
          <w:b/>
          <w:bCs/>
        </w:rPr>
        <w:t xml:space="preserve">rans and gender diverse people </w:t>
      </w:r>
      <w:r w:rsidR="00EC0C4F" w:rsidRPr="002E3FF2">
        <w:rPr>
          <w:b/>
          <w:bCs/>
        </w:rPr>
        <w:t>are</w:t>
      </w:r>
      <w:r w:rsidR="0057387B" w:rsidRPr="002E3FF2">
        <w:rPr>
          <w:b/>
          <w:bCs/>
        </w:rPr>
        <w:t xml:space="preserve"> </w:t>
      </w:r>
      <w:r w:rsidR="3B4EEACA" w:rsidRPr="002E3FF2">
        <w:rPr>
          <w:b/>
          <w:bCs/>
        </w:rPr>
        <w:t>experiencing targeted attacks from anti-rights actors</w:t>
      </w:r>
      <w:r w:rsidRPr="002E3FF2">
        <w:rPr>
          <w:b/>
          <w:bCs/>
        </w:rPr>
        <w:t xml:space="preserve"> and increasingly </w:t>
      </w:r>
      <w:r w:rsidR="00DB1201" w:rsidRPr="002E3FF2">
        <w:rPr>
          <w:b/>
          <w:bCs/>
        </w:rPr>
        <w:t>subjected to</w:t>
      </w:r>
      <w:r w:rsidR="00403274" w:rsidRPr="002E3FF2">
        <w:rPr>
          <w:b/>
          <w:bCs/>
        </w:rPr>
        <w:t xml:space="preserve"> hate campaigns</w:t>
      </w:r>
      <w:r w:rsidR="3B4EEACA" w:rsidRPr="002E3FF2">
        <w:rPr>
          <w:b/>
          <w:bCs/>
        </w:rPr>
        <w:t>.</w:t>
      </w:r>
      <w:r w:rsidR="3B4EEACA" w:rsidRPr="3B4EEACA">
        <w:t xml:space="preserve"> </w:t>
      </w:r>
      <w:r w:rsidR="3B4EEACA">
        <w:t>Anti-trans rhetoric is on the rise, with trans and gender-diverse people referred to as having ‘radical gender ideology’ and cast as threatening ‘the natural social order’.</w:t>
      </w:r>
      <w:r w:rsidR="0057387B" w:rsidRPr="1EDD49D5">
        <w:rPr>
          <w:rStyle w:val="EndnoteReference"/>
        </w:rPr>
        <w:endnoteReference w:id="2"/>
      </w:r>
      <w:r w:rsidR="3B4EEACA">
        <w:t xml:space="preserve"> Likewise, </w:t>
      </w:r>
      <w:r w:rsidR="00EF681B">
        <w:t xml:space="preserve">normative </w:t>
      </w:r>
      <w:r w:rsidR="0019286F">
        <w:t xml:space="preserve">language is being co-opted and used to </w:t>
      </w:r>
      <w:r w:rsidR="00600F56">
        <w:t xml:space="preserve">promote </w:t>
      </w:r>
      <w:r w:rsidR="0019286F">
        <w:t>‘traditional family values’</w:t>
      </w:r>
      <w:r w:rsidR="00E414E2">
        <w:t xml:space="preserve"> </w:t>
      </w:r>
      <w:r w:rsidR="00662758">
        <w:t>as a way of</w:t>
      </w:r>
      <w:r w:rsidR="00727FA7">
        <w:t xml:space="preserve"> </w:t>
      </w:r>
      <w:r w:rsidR="00E414E2">
        <w:t>oppos</w:t>
      </w:r>
      <w:r w:rsidR="00662758">
        <w:t>ing</w:t>
      </w:r>
      <w:r w:rsidR="00E414E2">
        <w:t xml:space="preserve"> </w:t>
      </w:r>
      <w:r w:rsidR="3B4EEACA">
        <w:t>marriage equality, trans rights, gender-affirming healthcare, and removing legal protections.</w:t>
      </w:r>
    </w:p>
    <w:p w14:paraId="465DACC4" w14:textId="701A57F2" w:rsidR="00766FDC" w:rsidRDefault="40B9B7E9" w:rsidP="00452CA4">
      <w:pPr>
        <w:rPr>
          <w:rFonts w:ascii="Aptos" w:eastAsia="Aptos" w:hAnsi="Aptos" w:cs="Aptos"/>
        </w:rPr>
      </w:pPr>
      <w:r w:rsidRPr="00F03D2F">
        <w:rPr>
          <w:b/>
          <w:bCs/>
        </w:rPr>
        <w:t xml:space="preserve">By withholding funding and </w:t>
      </w:r>
      <w:r w:rsidR="5F2A4FDE" w:rsidRPr="00F03D2F">
        <w:rPr>
          <w:b/>
          <w:bCs/>
        </w:rPr>
        <w:t xml:space="preserve">restricting </w:t>
      </w:r>
      <w:r w:rsidRPr="00F03D2F">
        <w:rPr>
          <w:b/>
          <w:bCs/>
        </w:rPr>
        <w:t>operations, anti-rights policies damage the long-term capacity of organisations to deliver essential health and human rights services.</w:t>
      </w:r>
      <w:r>
        <w:t xml:space="preserve"> </w:t>
      </w:r>
      <w:r w:rsidR="00E30AB5">
        <w:t>The hallmark of this has been</w:t>
      </w:r>
      <w:r>
        <w:t xml:space="preserve"> the </w:t>
      </w:r>
      <w:r w:rsidRPr="672802D6">
        <w:rPr>
          <w:i/>
          <w:iCs/>
        </w:rPr>
        <w:t>Mexico City Policy</w:t>
      </w:r>
      <w:r>
        <w:t xml:space="preserve"> (also known as the </w:t>
      </w:r>
      <w:r w:rsidRPr="672802D6">
        <w:rPr>
          <w:i/>
          <w:iCs/>
        </w:rPr>
        <w:t>Global Gag Rule)</w:t>
      </w:r>
      <w:r w:rsidR="00E30AB5" w:rsidRPr="40B9B7E9">
        <w:rPr>
          <w:vertAlign w:val="superscript"/>
        </w:rPr>
        <w:footnoteReference w:id="3"/>
      </w:r>
      <w:r>
        <w:t xml:space="preserve">, which has been </w:t>
      </w:r>
      <w:r w:rsidR="007D2E87">
        <w:t>enacted</w:t>
      </w:r>
      <w:r>
        <w:t xml:space="preserve"> and rescinded </w:t>
      </w:r>
      <w:r w:rsidR="5F2A4FDE" w:rsidRPr="00B84026">
        <w:t xml:space="preserve">by successive </w:t>
      </w:r>
      <w:r>
        <w:t xml:space="preserve">U.S. </w:t>
      </w:r>
      <w:r w:rsidR="5F2A4FDE">
        <w:t>administrations</w:t>
      </w:r>
      <w:r>
        <w:t xml:space="preserve"> since 1984. </w:t>
      </w:r>
      <w:r w:rsidR="00E30AB5">
        <w:t xml:space="preserve">The </w:t>
      </w:r>
      <w:r w:rsidR="00E30AB5" w:rsidRPr="672802D6">
        <w:rPr>
          <w:i/>
          <w:iCs/>
        </w:rPr>
        <w:t>Mexico City Policy</w:t>
      </w:r>
      <w:r w:rsidR="00E30AB5">
        <w:t xml:space="preserve"> has </w:t>
      </w:r>
      <w:r w:rsidR="00432ABA">
        <w:t>significantly affected</w:t>
      </w:r>
      <w:r w:rsidR="00E30AB5">
        <w:t xml:space="preserve"> reproductive health outcomes and access to </w:t>
      </w:r>
      <w:r w:rsidR="00E30AB5">
        <w:lastRenderedPageBreak/>
        <w:t xml:space="preserve">modern contraception in countries that rely heavily </w:t>
      </w:r>
      <w:r>
        <w:t>on U.S. foreign assistance.</w:t>
      </w:r>
      <w:r w:rsidR="00E30AB5" w:rsidRPr="40B9B7E9">
        <w:rPr>
          <w:rStyle w:val="EndnoteReference"/>
        </w:rPr>
        <w:endnoteReference w:id="3"/>
      </w:r>
      <w:r w:rsidR="5F2A4FDE" w:rsidRPr="5F2A4FDE">
        <w:rPr>
          <w:rStyle w:val="EndnoteReference"/>
        </w:rPr>
        <w:t xml:space="preserve"> </w:t>
      </w:r>
      <w:r w:rsidR="5F2A4FDE" w:rsidRPr="5F2A4FDE">
        <w:rPr>
          <w:rFonts w:ascii="Aptos" w:eastAsia="Aptos" w:hAnsi="Aptos" w:cs="Aptos"/>
        </w:rPr>
        <w:t xml:space="preserve">In recent years, expansions of the </w:t>
      </w:r>
      <w:r w:rsidR="00DD40C9" w:rsidRPr="5F2A4FDE">
        <w:rPr>
          <w:rFonts w:ascii="Aptos" w:eastAsia="Aptos" w:hAnsi="Aptos" w:cs="Aptos"/>
        </w:rPr>
        <w:t xml:space="preserve">policy </w:t>
      </w:r>
      <w:r w:rsidR="00DD40C9">
        <w:rPr>
          <w:rFonts w:ascii="Aptos" w:eastAsia="Aptos" w:hAnsi="Aptos" w:cs="Aptos"/>
        </w:rPr>
        <w:t>have</w:t>
      </w:r>
      <w:r w:rsidR="5F2A4FDE" w:rsidRPr="5F2A4FDE">
        <w:rPr>
          <w:rFonts w:ascii="Aptos" w:eastAsia="Aptos" w:hAnsi="Aptos" w:cs="Aptos"/>
        </w:rPr>
        <w:t xml:space="preserve"> intensified these effects</w:t>
      </w:r>
      <w:r w:rsidR="00F52D68">
        <w:rPr>
          <w:rFonts w:ascii="Aptos" w:eastAsia="Aptos" w:hAnsi="Aptos" w:cs="Aptos"/>
        </w:rPr>
        <w:t>.</w:t>
      </w:r>
    </w:p>
    <w:p w14:paraId="3F08F95C" w14:textId="5A6E982B" w:rsidR="00766FDC" w:rsidRDefault="00E30AB5" w:rsidP="00452CA4">
      <w:r w:rsidRPr="00304A97">
        <w:rPr>
          <w:b/>
          <w:bCs/>
        </w:rPr>
        <w:t>Anti-rights</w:t>
      </w:r>
      <w:r w:rsidR="007672D8" w:rsidRPr="00304A97">
        <w:rPr>
          <w:b/>
          <w:bCs/>
        </w:rPr>
        <w:t xml:space="preserve"> agendas are </w:t>
      </w:r>
      <w:r w:rsidR="00304A97" w:rsidRPr="00304A97">
        <w:rPr>
          <w:b/>
          <w:bCs/>
        </w:rPr>
        <w:t xml:space="preserve">now </w:t>
      </w:r>
      <w:r w:rsidR="007672D8" w:rsidRPr="00304A97">
        <w:rPr>
          <w:b/>
          <w:bCs/>
        </w:rPr>
        <w:t xml:space="preserve">central to mainstream </w:t>
      </w:r>
      <w:r w:rsidR="00811F0E" w:rsidRPr="00304A97">
        <w:rPr>
          <w:b/>
          <w:bCs/>
        </w:rPr>
        <w:t>discourse,</w:t>
      </w:r>
      <w:r w:rsidR="007672D8" w:rsidRPr="00304A97">
        <w:rPr>
          <w:b/>
          <w:bCs/>
        </w:rPr>
        <w:t xml:space="preserve"> and </w:t>
      </w:r>
      <w:r w:rsidR="00304A97" w:rsidRPr="00304A97">
        <w:rPr>
          <w:b/>
          <w:bCs/>
        </w:rPr>
        <w:t>proponents hol</w:t>
      </w:r>
      <w:r w:rsidR="00F367A6">
        <w:rPr>
          <w:b/>
          <w:bCs/>
        </w:rPr>
        <w:t>d</w:t>
      </w:r>
      <w:r w:rsidR="00304A97" w:rsidRPr="00304A97">
        <w:rPr>
          <w:b/>
          <w:bCs/>
        </w:rPr>
        <w:t xml:space="preserve"> positions of power</w:t>
      </w:r>
      <w:r w:rsidR="00304A97">
        <w:t xml:space="preserve">. </w:t>
      </w:r>
      <w:r w:rsidR="00F367A6">
        <w:t>A</w:t>
      </w:r>
      <w:r w:rsidR="006F3B3B">
        <w:t xml:space="preserve">nti-rights </w:t>
      </w:r>
      <w:r w:rsidR="00766FDC">
        <w:t>discourse is</w:t>
      </w:r>
      <w:r w:rsidR="003521B6">
        <w:t xml:space="preserve"> no longer confined to fringe extremist groups</w:t>
      </w:r>
      <w:r w:rsidR="00617AB2">
        <w:t xml:space="preserve">, with </w:t>
      </w:r>
      <w:r w:rsidR="00E24F0C">
        <w:t>regressive</w:t>
      </w:r>
      <w:r w:rsidR="00617AB2">
        <w:t xml:space="preserve"> </w:t>
      </w:r>
      <w:r w:rsidR="00175F8C">
        <w:t xml:space="preserve">views </w:t>
      </w:r>
      <w:r w:rsidR="00F51952">
        <w:t>and strategies</w:t>
      </w:r>
      <w:r w:rsidR="41D37102">
        <w:t xml:space="preserve"> </w:t>
      </w:r>
      <w:r w:rsidR="00F51B3B">
        <w:t xml:space="preserve">becoming normalised </w:t>
      </w:r>
      <w:r w:rsidR="00FC7D57">
        <w:t xml:space="preserve">among leaders in social, political, and economic sectors </w:t>
      </w:r>
      <w:r w:rsidR="000C189D">
        <w:t xml:space="preserve">and </w:t>
      </w:r>
      <w:r w:rsidR="009B3654">
        <w:t>embedded in national and global arenas</w:t>
      </w:r>
      <w:r w:rsidR="009B3654" w:rsidRPr="00147D81">
        <w:t>.</w:t>
      </w:r>
      <w:r w:rsidR="009B3654" w:rsidRPr="00147D81">
        <w:rPr>
          <w:rStyle w:val="EndnoteReference"/>
        </w:rPr>
        <w:endnoteReference w:id="4"/>
      </w:r>
      <w:r w:rsidR="009B3654" w:rsidRPr="00147D81">
        <w:t xml:space="preserve"> </w:t>
      </w:r>
      <w:r w:rsidR="00817923">
        <w:t xml:space="preserve">These views are </w:t>
      </w:r>
      <w:r w:rsidR="00817923" w:rsidRPr="0010499D">
        <w:t>often</w:t>
      </w:r>
      <w:r w:rsidR="00817923">
        <w:t xml:space="preserve"> founded in mis- and dis-information </w:t>
      </w:r>
      <w:r w:rsidR="001B413C">
        <w:t xml:space="preserve">related to gender, reproduction, and sexuality and </w:t>
      </w:r>
      <w:r w:rsidR="00EB7FD0">
        <w:t xml:space="preserve">are promoted using polarising </w:t>
      </w:r>
      <w:r w:rsidR="00FA1436">
        <w:t xml:space="preserve">narratives </w:t>
      </w:r>
      <w:r w:rsidR="0006767B">
        <w:t>and</w:t>
      </w:r>
      <w:r w:rsidR="00FA1436">
        <w:t xml:space="preserve"> embedded </w:t>
      </w:r>
      <w:r w:rsidR="0067432C">
        <w:t>in frameworks purporting to progress</w:t>
      </w:r>
      <w:r w:rsidR="00FD0DC9">
        <w:t xml:space="preserve"> women’s rights</w:t>
      </w:r>
      <w:r w:rsidR="00EB7FD0">
        <w:t>.</w:t>
      </w:r>
      <w:r w:rsidR="00FD0DC9">
        <w:t xml:space="preserve"> For example, t</w:t>
      </w:r>
      <w:r w:rsidR="00D53B6F">
        <w:t xml:space="preserve">he </w:t>
      </w:r>
      <w:r w:rsidR="00131BE5">
        <w:t xml:space="preserve">increasing </w:t>
      </w:r>
      <w:r w:rsidR="00877D0B">
        <w:t xml:space="preserve">multilateral </w:t>
      </w:r>
      <w:r w:rsidR="00131BE5">
        <w:t>support</w:t>
      </w:r>
      <w:r w:rsidR="00D53B6F">
        <w:t xml:space="preserve"> </w:t>
      </w:r>
      <w:r w:rsidR="00131BE5">
        <w:t>for restricting</w:t>
      </w:r>
      <w:r w:rsidR="00966ED9" w:rsidRPr="00747F8E">
        <w:t xml:space="preserve"> abortion access </w:t>
      </w:r>
      <w:r w:rsidR="00D53B6F">
        <w:t>and</w:t>
      </w:r>
      <w:r w:rsidR="00966ED9">
        <w:t xml:space="preserve"> </w:t>
      </w:r>
      <w:r w:rsidR="0047399E">
        <w:t>rolling back</w:t>
      </w:r>
      <w:r w:rsidR="00877D0B">
        <w:t xml:space="preserve"> </w:t>
      </w:r>
      <w:r w:rsidR="00747F8E">
        <w:t xml:space="preserve">protections for </w:t>
      </w:r>
      <w:r w:rsidR="00EB2995">
        <w:t xml:space="preserve">trans and </w:t>
      </w:r>
      <w:r w:rsidR="00966ED9">
        <w:t>gender divers</w:t>
      </w:r>
      <w:r w:rsidR="00877D0B">
        <w:t>e people</w:t>
      </w:r>
      <w:r w:rsidR="37C4F008">
        <w:t xml:space="preserve"> is seen with the multi-country </w:t>
      </w:r>
      <w:r w:rsidR="00AA5256">
        <w:t>signatories</w:t>
      </w:r>
      <w:r w:rsidR="00AA5256">
        <w:rPr>
          <w:rStyle w:val="EndnoteReference"/>
        </w:rPr>
        <w:endnoteReference w:id="5"/>
      </w:r>
      <w:r w:rsidR="37C4F008">
        <w:t xml:space="preserve"> </w:t>
      </w:r>
      <w:r w:rsidR="000B153B">
        <w:t>to</w:t>
      </w:r>
      <w:r w:rsidR="37C4F008">
        <w:t xml:space="preserve"> the </w:t>
      </w:r>
      <w:r w:rsidR="37C4F008" w:rsidRPr="596C40D9">
        <w:rPr>
          <w:i/>
          <w:iCs/>
        </w:rPr>
        <w:t>Geneva Consensus Declaration,</w:t>
      </w:r>
      <w:r w:rsidRPr="278EFA6A">
        <w:rPr>
          <w:vertAlign w:val="superscript"/>
        </w:rPr>
        <w:footnoteReference w:id="4"/>
      </w:r>
      <w:r w:rsidR="37C4F008">
        <w:t xml:space="preserve"> and the endorsement of the </w:t>
      </w:r>
      <w:r w:rsidR="37C4F008" w:rsidRPr="596C40D9">
        <w:rPr>
          <w:i/>
          <w:iCs/>
        </w:rPr>
        <w:t>Declaration on Women’s Sex-Based Rights</w:t>
      </w:r>
      <w:r w:rsidRPr="278EFA6A">
        <w:rPr>
          <w:rStyle w:val="FootnoteReference"/>
        </w:rPr>
        <w:footnoteReference w:id="5"/>
      </w:r>
      <w:r w:rsidR="37C4F008" w:rsidRPr="596C40D9">
        <w:rPr>
          <w:i/>
          <w:iCs/>
        </w:rPr>
        <w:t xml:space="preserve"> </w:t>
      </w:r>
      <w:r w:rsidR="37C4F008">
        <w:t>by key groups and individuals.</w:t>
      </w:r>
      <w:r w:rsidR="00682A65">
        <w:t xml:space="preserve"> </w:t>
      </w:r>
    </w:p>
    <w:p w14:paraId="0C568CC6" w14:textId="4E01947C" w:rsidR="0081451F" w:rsidRDefault="2F415A4B" w:rsidP="00452CA4">
      <w:pPr>
        <w:rPr>
          <w:b/>
          <w:bCs/>
        </w:rPr>
      </w:pPr>
      <w:r w:rsidRPr="2F415A4B">
        <w:rPr>
          <w:b/>
          <w:bCs/>
        </w:rPr>
        <w:t>International funding and domestic commitments to SRHR and human rights are being withdrawn or limited</w:t>
      </w:r>
      <w:r>
        <w:t>. Several countries have reduced their official development assistance (ODA) for SRHR in response to increasingly restrictive policies and election commitments.</w:t>
      </w:r>
      <w:r w:rsidR="24004E60" w:rsidRPr="2F415A4B">
        <w:rPr>
          <w:rStyle w:val="EndnoteReference"/>
        </w:rPr>
        <w:endnoteReference w:id="6"/>
      </w:r>
      <w:r>
        <w:t xml:space="preserve">  This includes Sweden</w:t>
      </w:r>
      <w:r w:rsidR="24004E60" w:rsidRPr="2F415A4B">
        <w:rPr>
          <w:rStyle w:val="EndnoteReference"/>
        </w:rPr>
        <w:endnoteReference w:id="7"/>
      </w:r>
      <w:r>
        <w:t xml:space="preserve"> and the Netherlands,</w:t>
      </w:r>
      <w:r w:rsidR="24004E60" w:rsidRPr="2F415A4B">
        <w:rPr>
          <w:rStyle w:val="EndnoteReference"/>
        </w:rPr>
        <w:endnoteReference w:id="8"/>
      </w:r>
      <w:r w:rsidRPr="2F415A4B">
        <w:rPr>
          <w:b/>
          <w:bCs/>
        </w:rPr>
        <w:t xml:space="preserve"> </w:t>
      </w:r>
      <w:r>
        <w:t>who had been long-term champions of SRHR.</w:t>
      </w:r>
      <w:r w:rsidRPr="2F415A4B">
        <w:rPr>
          <w:b/>
          <w:bCs/>
        </w:rPr>
        <w:t xml:space="preserve"> </w:t>
      </w:r>
    </w:p>
    <w:p w14:paraId="6B305C35" w14:textId="248366BB" w:rsidR="0081451F" w:rsidRDefault="24004E60" w:rsidP="00452CA4">
      <w:r w:rsidRPr="00F03D2F">
        <w:rPr>
          <w:b/>
          <w:bCs/>
        </w:rPr>
        <w:t xml:space="preserve">Collaborative efforts are now </w:t>
      </w:r>
      <w:r w:rsidR="00013B85" w:rsidRPr="00F03D2F">
        <w:rPr>
          <w:b/>
          <w:bCs/>
        </w:rPr>
        <w:t>challeng</w:t>
      </w:r>
      <w:r w:rsidRPr="00F03D2F">
        <w:rPr>
          <w:b/>
          <w:bCs/>
        </w:rPr>
        <w:t>ing</w:t>
      </w:r>
      <w:r w:rsidR="0010499D" w:rsidRPr="00F03D2F">
        <w:rPr>
          <w:b/>
          <w:bCs/>
        </w:rPr>
        <w:t xml:space="preserve"> and undermining</w:t>
      </w:r>
      <w:r w:rsidR="007F6FE4" w:rsidRPr="00F03D2F">
        <w:rPr>
          <w:b/>
          <w:bCs/>
        </w:rPr>
        <w:t xml:space="preserve"> the authority </w:t>
      </w:r>
      <w:r w:rsidR="37C4F008" w:rsidRPr="00F03D2F">
        <w:rPr>
          <w:b/>
          <w:bCs/>
        </w:rPr>
        <w:t xml:space="preserve">and structural capacity </w:t>
      </w:r>
      <w:r w:rsidR="007F6FE4" w:rsidRPr="00F03D2F">
        <w:rPr>
          <w:b/>
          <w:bCs/>
        </w:rPr>
        <w:t xml:space="preserve">of </w:t>
      </w:r>
      <w:r w:rsidR="00BB42AF" w:rsidRPr="00F03D2F">
        <w:rPr>
          <w:b/>
          <w:bCs/>
        </w:rPr>
        <w:t>the UN</w:t>
      </w:r>
      <w:r w:rsidRPr="00F03D2F">
        <w:rPr>
          <w:b/>
          <w:bCs/>
        </w:rPr>
        <w:t xml:space="preserve"> and the multilateral system.</w:t>
      </w:r>
      <w:r>
        <w:t xml:space="preserve"> </w:t>
      </w:r>
      <w:r w:rsidR="00521DBC">
        <w:t xml:space="preserve">Anti-rights actors </w:t>
      </w:r>
      <w:r>
        <w:t>are</w:t>
      </w:r>
      <w:r w:rsidR="007F6FE4">
        <w:t xml:space="preserve"> </w:t>
      </w:r>
      <w:r>
        <w:t xml:space="preserve">systematically blocking </w:t>
      </w:r>
      <w:r w:rsidR="007F6FE4">
        <w:t>resolutions that advance gender equality and human rights</w:t>
      </w:r>
      <w:r w:rsidR="0010499D">
        <w:rPr>
          <w:rStyle w:val="EndnoteReference"/>
        </w:rPr>
        <w:endnoteReference w:id="9"/>
      </w:r>
      <w:r w:rsidR="0010499D">
        <w:t>,</w:t>
      </w:r>
      <w:r w:rsidR="00C24900">
        <w:t xml:space="preserve"> </w:t>
      </w:r>
      <w:r w:rsidR="007F6FE4">
        <w:t>and promo</w:t>
      </w:r>
      <w:r w:rsidR="00013B85">
        <w:t>t</w:t>
      </w:r>
      <w:r>
        <w:t>e</w:t>
      </w:r>
      <w:r w:rsidR="007F6FE4">
        <w:t xml:space="preserve"> </w:t>
      </w:r>
      <w:r w:rsidR="003E2A5E">
        <w:t>parallel frameworks that use rights-based language</w:t>
      </w:r>
      <w:r w:rsidR="00BC526D">
        <w:t xml:space="preserve"> and reference UN statements,</w:t>
      </w:r>
      <w:r w:rsidR="003E2A5E">
        <w:t xml:space="preserve"> </w:t>
      </w:r>
      <w:r w:rsidR="007E3407">
        <w:t xml:space="preserve">while directly contradicting </w:t>
      </w:r>
      <w:r w:rsidR="00746090">
        <w:t xml:space="preserve">human rights </w:t>
      </w:r>
      <w:r w:rsidR="007E3407">
        <w:t>principles.</w:t>
      </w:r>
      <w:r w:rsidR="007F6FE4">
        <w:t xml:space="preserve"> </w:t>
      </w:r>
      <w:r w:rsidR="00315F26">
        <w:t xml:space="preserve">In 2025, </w:t>
      </w:r>
      <w:r w:rsidR="00606208">
        <w:t xml:space="preserve">the </w:t>
      </w:r>
      <w:r w:rsidR="33087DA4">
        <w:t xml:space="preserve">U.S. </w:t>
      </w:r>
      <w:r w:rsidDel="4B5C7E1B">
        <w:t>a</w:t>
      </w:r>
      <w:r w:rsidR="00F846BC">
        <w:t xml:space="preserve">dministration initiated the </w:t>
      </w:r>
      <w:r w:rsidR="00A7093C">
        <w:t xml:space="preserve">process of </w:t>
      </w:r>
      <w:r w:rsidR="00606208">
        <w:t>withdrawal from the World Health Organization (WHO).</w:t>
      </w:r>
      <w:r w:rsidR="00F846BC">
        <w:t xml:space="preserve"> </w:t>
      </w:r>
      <w:r>
        <w:t xml:space="preserve">As </w:t>
      </w:r>
      <w:r w:rsidR="00F504E6">
        <w:t>its largest donor</w:t>
      </w:r>
      <w:r>
        <w:t xml:space="preserve">, the absence of U.S. funding and technical expertise will </w:t>
      </w:r>
      <w:r w:rsidR="004E12E1">
        <w:t>damage</w:t>
      </w:r>
      <w:r w:rsidR="37C4F008" w:rsidRPr="37C4F008">
        <w:t xml:space="preserve"> the </w:t>
      </w:r>
      <w:r w:rsidR="009A1E0E">
        <w:t xml:space="preserve">immediate and long-term </w:t>
      </w:r>
      <w:r w:rsidR="37C4F008" w:rsidRPr="37C4F008">
        <w:t xml:space="preserve">capacity of the </w:t>
      </w:r>
      <w:r w:rsidR="278EFA6A" w:rsidRPr="278EFA6A">
        <w:t>WHO and</w:t>
      </w:r>
      <w:r w:rsidR="00F504E6">
        <w:t xml:space="preserve"> </w:t>
      </w:r>
      <w:r w:rsidR="00F504E6" w:rsidRPr="0010499D">
        <w:t xml:space="preserve">the </w:t>
      </w:r>
      <w:r w:rsidR="37C4F008">
        <w:t>global health landscape.</w:t>
      </w:r>
    </w:p>
    <w:p w14:paraId="5333418A" w14:textId="27B404CA" w:rsidR="2F415A4B" w:rsidRDefault="5A5AFC88" w:rsidP="00452CA4">
      <w:r w:rsidRPr="5A5AFC88">
        <w:rPr>
          <w:b/>
          <w:bCs/>
        </w:rPr>
        <w:t xml:space="preserve">Anti-rights efforts are eroding democratic institutions and judicial independence. </w:t>
      </w:r>
      <w:r>
        <w:t>This restricts the freedom of the public to advocate, access information, and to organise, protest, and hold governments accountable. As more governments adopt regressive policies around the world, this civic space is narrowing, further contributing to a quickly shifting and perilous geopolitical landscape for SRHR.</w:t>
      </w:r>
    </w:p>
    <w:p w14:paraId="73158C12" w14:textId="45515BB2" w:rsidR="40B9B7E9" w:rsidRPr="00C61C78" w:rsidRDefault="40B9B7E9" w:rsidP="00D6234B">
      <w:pPr>
        <w:rPr>
          <w:b/>
          <w:bCs/>
          <w:i/>
          <w:iCs/>
        </w:rPr>
      </w:pPr>
      <w:r w:rsidRPr="00C61C78">
        <w:rPr>
          <w:b/>
          <w:bCs/>
          <w:i/>
          <w:iCs/>
        </w:rPr>
        <w:lastRenderedPageBreak/>
        <w:t>This is an unprecedented time, and the challenges have a direct impact on Australia’s support for SRHR within foreign policy and development assistance.</w:t>
      </w:r>
    </w:p>
    <w:p w14:paraId="226CD228" w14:textId="7D5DC28E" w:rsidR="006C1BDF" w:rsidRDefault="00CB1554" w:rsidP="00D6234B">
      <w:r>
        <w:rPr>
          <w:noProof/>
        </w:rPr>
        <mc:AlternateContent>
          <mc:Choice Requires="wps">
            <w:drawing>
              <wp:anchor distT="0" distB="0" distL="114300" distR="114300" simplePos="0" relativeHeight="251679744" behindDoc="0" locked="0" layoutInCell="1" allowOverlap="1" wp14:anchorId="10FDC41D" wp14:editId="40F340B3">
                <wp:simplePos x="0" y="0"/>
                <wp:positionH relativeFrom="column">
                  <wp:posOffset>1064895</wp:posOffset>
                </wp:positionH>
                <wp:positionV relativeFrom="paragraph">
                  <wp:posOffset>116537</wp:posOffset>
                </wp:positionV>
                <wp:extent cx="4672330" cy="0"/>
                <wp:effectExtent l="0" t="0" r="13970" b="12700"/>
                <wp:wrapNone/>
                <wp:docPr id="1813688262" name="Straight Connector 3"/>
                <wp:cNvGraphicFramePr/>
                <a:graphic xmlns:a="http://schemas.openxmlformats.org/drawingml/2006/main">
                  <a:graphicData uri="http://schemas.microsoft.com/office/word/2010/wordprocessingShape">
                    <wps:wsp>
                      <wps:cNvCnPr/>
                      <wps:spPr>
                        <a:xfrm>
                          <a:off x="0" y="0"/>
                          <a:ext cx="467233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421572CD" id="Straight Connector 3" o:spid="_x0000_s1026" style="position:absolute;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3.85pt,9.2pt" to="451.75pt,9.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" strokecolor="#156082 [3204]" strokeweight="1pt">
                <v:stroke joinstyle="miter"/>
              </v:line>
            </w:pict>
          </mc:Fallback>
        </mc:AlternateContent>
      </w:r>
    </w:p>
    <w:p w14:paraId="795B4840" w14:textId="78F74ED3" w:rsidR="00B82BFE" w:rsidRDefault="00D6234B" w:rsidP="00987142">
      <w:pPr>
        <w:pStyle w:val="Heading2"/>
      </w:pPr>
      <w:r>
        <w:t>RECOMMENDATIONS</w:t>
      </w:r>
    </w:p>
    <w:p w14:paraId="11663554" w14:textId="7AE37FF4" w:rsidR="005B081B" w:rsidRDefault="6985FBA7" w:rsidP="00452CA4">
      <w:pPr>
        <w:rPr>
          <w:b/>
          <w:bCs/>
        </w:rPr>
      </w:pPr>
      <w:r w:rsidRPr="6985FBA7">
        <w:rPr>
          <w:b/>
          <w:bCs/>
        </w:rPr>
        <w:t>Australia is recognised as a global leader and progressive force on SRHR, gender equality, and LGBTQIA+ rights.</w:t>
      </w:r>
      <w:r>
        <w:t xml:space="preserve"> Australia’s commitment has been demonstrated through engagement in the Commission on Population and Development (CPD), the Commission on the Status of Women (CSW) and the Human Rights Council, and the leadership of its Ambassadors for Gender Equality, Global Health, and Human Rights. </w:t>
      </w:r>
    </w:p>
    <w:p w14:paraId="4D831915" w14:textId="70DE1A6F" w:rsidR="00EF554E" w:rsidRPr="009B3EAF" w:rsidRDefault="40B9B7E9" w:rsidP="00452CA4">
      <w:r>
        <w:t xml:space="preserve">In response to the global anti-rights agenda and rapidly changing global landscape it is essential that Australia establishes and upholds legal frameworks, programs, and policies that </w:t>
      </w:r>
      <w:r w:rsidRPr="40B9B7E9">
        <w:rPr>
          <w:i/>
          <w:iCs/>
        </w:rPr>
        <w:t>protect and advance</w:t>
      </w:r>
      <w:r>
        <w:t xml:space="preserve"> SRHR, gender equality, and the rights of marginalised groups. </w:t>
      </w:r>
    </w:p>
    <w:p w14:paraId="7582417D" w14:textId="675FFA88" w:rsidR="00D0418F" w:rsidRPr="009704E1" w:rsidRDefault="0F97161A" w:rsidP="00452CA4">
      <w:pPr>
        <w:rPr>
          <w:b/>
          <w:bCs/>
        </w:rPr>
      </w:pPr>
      <w:r w:rsidRPr="009704E1">
        <w:rPr>
          <w:b/>
          <w:bCs/>
        </w:rPr>
        <w:t>The International SRHR Consortium urges the Australian government to:</w:t>
      </w:r>
    </w:p>
    <w:p w14:paraId="211756BE" w14:textId="3B28BB17" w:rsidR="00D0418F" w:rsidRPr="00147D81" w:rsidRDefault="6985FBA7" w:rsidP="00D6234B">
      <w:pPr>
        <w:pStyle w:val="ListParagraph"/>
        <w:numPr>
          <w:ilvl w:val="0"/>
          <w:numId w:val="13"/>
        </w:numPr>
      </w:pPr>
      <w:r w:rsidRPr="00D6234B">
        <w:rPr>
          <w:b/>
          <w:bCs/>
        </w:rPr>
        <w:t>Reaffirm Australia’s global leadership with high-level ministerial representation</w:t>
      </w:r>
      <w:r>
        <w:t xml:space="preserve"> at all multilateral forums to champion SRHR, gender equality, and LGBTQIA+ rights.</w:t>
      </w:r>
    </w:p>
    <w:p w14:paraId="066ED9ED" w14:textId="2EEA9765" w:rsidR="00D0418F" w:rsidRPr="00147D81" w:rsidRDefault="3BD4797E" w:rsidP="00D6234B">
      <w:pPr>
        <w:pStyle w:val="ListParagraph"/>
        <w:numPr>
          <w:ilvl w:val="0"/>
          <w:numId w:val="13"/>
        </w:numPr>
      </w:pPr>
      <w:r w:rsidRPr="00D81D27">
        <w:rPr>
          <w:b/>
          <w:bCs/>
        </w:rPr>
        <w:t>Defend and protect the multilateral system</w:t>
      </w:r>
      <w:r w:rsidRPr="3BD4797E">
        <w:t xml:space="preserve"> as a critical mechanism for upholding health and human rights. </w:t>
      </w:r>
    </w:p>
    <w:p w14:paraId="76DD719D" w14:textId="68E96D1D" w:rsidR="00D0418F" w:rsidRPr="001B053A" w:rsidRDefault="6985FBA7" w:rsidP="00D6234B">
      <w:pPr>
        <w:pStyle w:val="ListParagraph"/>
        <w:numPr>
          <w:ilvl w:val="0"/>
          <w:numId w:val="13"/>
        </w:numPr>
      </w:pPr>
      <w:r w:rsidRPr="00D81D27">
        <w:rPr>
          <w:b/>
          <w:bCs/>
        </w:rPr>
        <w:t>Hold the line on progressive, inclusive, normative language and commitments in UN processes</w:t>
      </w:r>
      <w:r w:rsidRPr="6985FBA7">
        <w:t xml:space="preserve"> </w:t>
      </w:r>
      <w:r w:rsidRPr="00911E68">
        <w:rPr>
          <w:b/>
          <w:bCs/>
        </w:rPr>
        <w:t>on SRHR, gender, and sexuality</w:t>
      </w:r>
      <w:r w:rsidRPr="6985FBA7">
        <w:t xml:space="preserve">, </w:t>
      </w:r>
      <w:r>
        <w:t xml:space="preserve">and build alliances with other Member States to amplify this effort. </w:t>
      </w:r>
    </w:p>
    <w:p w14:paraId="3E572C91" w14:textId="299E22A6" w:rsidR="008129A7" w:rsidRDefault="008129A7" w:rsidP="00D6234B">
      <w:pPr>
        <w:pStyle w:val="ListParagraph"/>
        <w:numPr>
          <w:ilvl w:val="0"/>
          <w:numId w:val="13"/>
        </w:numPr>
      </w:pPr>
      <w:r w:rsidRPr="00D6234B">
        <w:rPr>
          <w:b/>
          <w:bCs/>
        </w:rPr>
        <w:t xml:space="preserve">Protect and promote </w:t>
      </w:r>
      <w:r w:rsidR="4E93E7BB" w:rsidRPr="00D6234B">
        <w:rPr>
          <w:b/>
          <w:bCs/>
        </w:rPr>
        <w:t xml:space="preserve">funding </w:t>
      </w:r>
      <w:r w:rsidRPr="00D6234B">
        <w:rPr>
          <w:b/>
          <w:bCs/>
        </w:rPr>
        <w:t>for civil society organisations</w:t>
      </w:r>
      <w:r w:rsidRPr="00147D81">
        <w:t xml:space="preserve">, </w:t>
      </w:r>
      <w:r>
        <w:t>recognising their critical role in protecting the health and</w:t>
      </w:r>
      <w:r w:rsidRPr="00147D81">
        <w:t xml:space="preserve"> rights</w:t>
      </w:r>
      <w:r>
        <w:t xml:space="preserve"> of women and marginalised groups most impacted by the </w:t>
      </w:r>
      <w:r w:rsidRPr="00147D81">
        <w:t>anti-rights agenda</w:t>
      </w:r>
      <w:r w:rsidRPr="00147D81">
        <w:rPr>
          <w:rStyle w:val="FootnoteReference"/>
        </w:rPr>
        <w:footnoteReference w:id="6"/>
      </w:r>
      <w:r w:rsidRPr="00147D81">
        <w:t xml:space="preserve">. </w:t>
      </w:r>
    </w:p>
    <w:p w14:paraId="72AAE481" w14:textId="23B2B420" w:rsidR="001E03C5" w:rsidRPr="001E03C5" w:rsidRDefault="158E1EA0" w:rsidP="00D6234B">
      <w:pPr>
        <w:pStyle w:val="ListParagraph"/>
        <w:numPr>
          <w:ilvl w:val="0"/>
          <w:numId w:val="13"/>
        </w:numPr>
      </w:pPr>
      <w:r w:rsidRPr="00D6234B">
        <w:rPr>
          <w:b/>
          <w:bCs/>
        </w:rPr>
        <w:t>Invest in strategic, coordinated, cross-sectoral monitoring of</w:t>
      </w:r>
      <w:r w:rsidR="0088783B" w:rsidRPr="00D6234B">
        <w:rPr>
          <w:b/>
          <w:bCs/>
        </w:rPr>
        <w:t xml:space="preserve"> anti-rights action and discourse</w:t>
      </w:r>
      <w:r w:rsidR="001E03C5">
        <w:t xml:space="preserve"> </w:t>
      </w:r>
      <w:r w:rsidR="00D72E1C">
        <w:t>and recognise the threat of anti-rights agendas to democratic processes and regional security.</w:t>
      </w:r>
    </w:p>
    <w:p w14:paraId="548D6A2F" w14:textId="6DCAB0C1" w:rsidR="00DD56C1" w:rsidRPr="00147D81" w:rsidRDefault="6985FBA7" w:rsidP="00D6234B">
      <w:pPr>
        <w:pStyle w:val="ListParagraph"/>
        <w:numPr>
          <w:ilvl w:val="0"/>
          <w:numId w:val="13"/>
        </w:numPr>
      </w:pPr>
      <w:r w:rsidRPr="00D81D27">
        <w:rPr>
          <w:b/>
          <w:bCs/>
        </w:rPr>
        <w:t>Promote narratives that emphasise progress, social cohesion, and shared values</w:t>
      </w:r>
      <w:r>
        <w:t xml:space="preserve"> to resist the social discord fuelled by anti-rights act</w:t>
      </w:r>
      <w:r w:rsidR="00BB1F29">
        <w:t>ion</w:t>
      </w:r>
      <w:r>
        <w:t>.</w:t>
      </w:r>
    </w:p>
    <w:p w14:paraId="4884D19E" w14:textId="15274BDC" w:rsidR="008129A7" w:rsidRDefault="40B9B7E9" w:rsidP="00452CA4">
      <w:pPr>
        <w:rPr>
          <w:b/>
          <w:bCs/>
        </w:rPr>
      </w:pPr>
      <w:r w:rsidRPr="00D6234B">
        <w:rPr>
          <w:b/>
          <w:bCs/>
        </w:rPr>
        <w:t xml:space="preserve">Now, more than ever, Australia’s leadership, strategic partnership and cooperation is vital in countering the anti-rights agenda and in reinforcing and maintaining hard-won progress on human rights and SRHR for all people. </w:t>
      </w:r>
    </w:p>
    <w:p w14:paraId="15A420EF" w14:textId="24104460" w:rsidR="00987142" w:rsidRDefault="00987142" w:rsidP="00987142">
      <w:pPr>
        <w:pStyle w:val="Heading2"/>
      </w:pPr>
    </w:p>
    <w:p w14:paraId="3A76DC81" w14:textId="1EA67999" w:rsidR="00987142" w:rsidRDefault="00666CE4" w:rsidP="00987142">
      <w:pPr>
        <w:pStyle w:val="Heading2"/>
      </w:pPr>
      <w:r>
        <w:rPr>
          <w:noProof/>
        </w:rPr>
        <w:drawing>
          <wp:anchor distT="0" distB="0" distL="114300" distR="114300" simplePos="0" relativeHeight="251681792" behindDoc="0" locked="0" layoutInCell="1" allowOverlap="1" wp14:anchorId="444E1ED3" wp14:editId="713C6154">
            <wp:simplePos x="0" y="0"/>
            <wp:positionH relativeFrom="column">
              <wp:posOffset>988060</wp:posOffset>
            </wp:positionH>
            <wp:positionV relativeFrom="paragraph">
              <wp:posOffset>45551</wp:posOffset>
            </wp:positionV>
            <wp:extent cx="1659890" cy="700405"/>
            <wp:effectExtent l="0" t="0" r="0" b="0"/>
            <wp:wrapNone/>
            <wp:docPr id="1978306678" name="Picture 1"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306678" name="Picture 1" descr="A blue and black logo&#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59890" cy="70040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5888" behindDoc="0" locked="0" layoutInCell="1" allowOverlap="1" wp14:anchorId="2E56523D" wp14:editId="3CD8B4D5">
            <wp:simplePos x="0" y="0"/>
            <wp:positionH relativeFrom="column">
              <wp:posOffset>4315728</wp:posOffset>
            </wp:positionH>
            <wp:positionV relativeFrom="paragraph">
              <wp:posOffset>90269</wp:posOffset>
            </wp:positionV>
            <wp:extent cx="1241425" cy="962660"/>
            <wp:effectExtent l="0" t="0" r="3175" b="2540"/>
            <wp:wrapNone/>
            <wp:docPr id="902323024" name="Picture 3" descr="A logo for a family planning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323024" name="Picture 3" descr="A logo for a family planning company&#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41425" cy="9626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6912" behindDoc="0" locked="0" layoutInCell="1" allowOverlap="1" wp14:anchorId="25DA5EA2" wp14:editId="7393B29A">
            <wp:simplePos x="0" y="0"/>
            <wp:positionH relativeFrom="column">
              <wp:posOffset>3120326</wp:posOffset>
            </wp:positionH>
            <wp:positionV relativeFrom="paragraph">
              <wp:posOffset>176238</wp:posOffset>
            </wp:positionV>
            <wp:extent cx="671119" cy="677131"/>
            <wp:effectExtent l="0" t="0" r="2540" b="0"/>
            <wp:wrapNone/>
            <wp:docPr id="821321336" name="Picture 4"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321336" name="Picture 4" descr="A logo with text on it&#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71119" cy="677131"/>
                    </a:xfrm>
                    <a:prstGeom prst="rect">
                      <a:avLst/>
                    </a:prstGeom>
                  </pic:spPr>
                </pic:pic>
              </a:graphicData>
            </a:graphic>
            <wp14:sizeRelH relativeFrom="page">
              <wp14:pctWidth>0</wp14:pctWidth>
            </wp14:sizeRelH>
            <wp14:sizeRelV relativeFrom="page">
              <wp14:pctHeight>0</wp14:pctHeight>
            </wp14:sizeRelV>
          </wp:anchor>
        </w:drawing>
      </w:r>
      <w:r w:rsidR="00705F89">
        <w:rPr>
          <w:noProof/>
        </w:rPr>
        <w:drawing>
          <wp:anchor distT="0" distB="0" distL="114300" distR="114300" simplePos="0" relativeHeight="251693056" behindDoc="0" locked="0" layoutInCell="1" allowOverlap="1" wp14:anchorId="6EAA600A" wp14:editId="42F23527">
            <wp:simplePos x="0" y="0"/>
            <wp:positionH relativeFrom="column">
              <wp:posOffset>3042920</wp:posOffset>
            </wp:positionH>
            <wp:positionV relativeFrom="paragraph">
              <wp:posOffset>1180465</wp:posOffset>
            </wp:positionV>
            <wp:extent cx="944880" cy="813435"/>
            <wp:effectExtent l="0" t="0" r="0" b="0"/>
            <wp:wrapNone/>
            <wp:docPr id="588891043" name="Picture 6" descr="A black background with blue text and a do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891043" name="Picture 6" descr="A black background with blue text and a door&#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944880" cy="813435"/>
                    </a:xfrm>
                    <a:prstGeom prst="rect">
                      <a:avLst/>
                    </a:prstGeom>
                  </pic:spPr>
                </pic:pic>
              </a:graphicData>
            </a:graphic>
            <wp14:sizeRelH relativeFrom="page">
              <wp14:pctWidth>0</wp14:pctWidth>
            </wp14:sizeRelH>
            <wp14:sizeRelV relativeFrom="page">
              <wp14:pctHeight>0</wp14:pctHeight>
            </wp14:sizeRelV>
          </wp:anchor>
        </w:drawing>
      </w:r>
      <w:r w:rsidR="00705F89">
        <w:rPr>
          <w:noProof/>
        </w:rPr>
        <w:drawing>
          <wp:anchor distT="0" distB="0" distL="114300" distR="114300" simplePos="0" relativeHeight="251697152" behindDoc="0" locked="0" layoutInCell="1" allowOverlap="1" wp14:anchorId="6903A29D" wp14:editId="06FCC7BE">
            <wp:simplePos x="0" y="0"/>
            <wp:positionH relativeFrom="column">
              <wp:posOffset>1130300</wp:posOffset>
            </wp:positionH>
            <wp:positionV relativeFrom="paragraph">
              <wp:posOffset>2272030</wp:posOffset>
            </wp:positionV>
            <wp:extent cx="1224280" cy="462915"/>
            <wp:effectExtent l="0" t="0" r="0" b="0"/>
            <wp:wrapNone/>
            <wp:docPr id="1424342518" name="Picture 8" descr="A blue rectangular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342518" name="Picture 8" descr="A blue rectangular sign with white text&#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24280" cy="462915"/>
                    </a:xfrm>
                    <a:prstGeom prst="rect">
                      <a:avLst/>
                    </a:prstGeom>
                  </pic:spPr>
                </pic:pic>
              </a:graphicData>
            </a:graphic>
            <wp14:sizeRelH relativeFrom="page">
              <wp14:pctWidth>0</wp14:pctWidth>
            </wp14:sizeRelH>
            <wp14:sizeRelV relativeFrom="page">
              <wp14:pctHeight>0</wp14:pctHeight>
            </wp14:sizeRelV>
          </wp:anchor>
        </w:drawing>
      </w:r>
      <w:r w:rsidR="00705F89">
        <w:rPr>
          <w:noProof/>
        </w:rPr>
        <w:drawing>
          <wp:anchor distT="0" distB="0" distL="114300" distR="114300" simplePos="0" relativeHeight="251701248" behindDoc="0" locked="0" layoutInCell="1" allowOverlap="1" wp14:anchorId="52013A1B" wp14:editId="11109528">
            <wp:simplePos x="0" y="0"/>
            <wp:positionH relativeFrom="column">
              <wp:posOffset>4325620</wp:posOffset>
            </wp:positionH>
            <wp:positionV relativeFrom="paragraph">
              <wp:posOffset>2263775</wp:posOffset>
            </wp:positionV>
            <wp:extent cx="1226185" cy="445770"/>
            <wp:effectExtent l="0" t="0" r="5715" b="0"/>
            <wp:wrapNone/>
            <wp:docPr id="14077901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79016" name="Picture 140779016"/>
                    <pic:cNvPicPr/>
                  </pic:nvPicPr>
                  <pic:blipFill>
                    <a:blip r:embed="rId14">
                      <a:extLst>
                        <a:ext uri="{28A0092B-C50C-407E-A947-70E740481C1C}">
                          <a14:useLocalDpi xmlns:a14="http://schemas.microsoft.com/office/drawing/2010/main" val="0"/>
                        </a:ext>
                      </a:extLst>
                    </a:blip>
                    <a:stretch>
                      <a:fillRect/>
                    </a:stretch>
                  </pic:blipFill>
                  <pic:spPr>
                    <a:xfrm>
                      <a:off x="0" y="0"/>
                      <a:ext cx="1226185" cy="445770"/>
                    </a:xfrm>
                    <a:prstGeom prst="rect">
                      <a:avLst/>
                    </a:prstGeom>
                  </pic:spPr>
                </pic:pic>
              </a:graphicData>
            </a:graphic>
            <wp14:sizeRelH relativeFrom="page">
              <wp14:pctWidth>0</wp14:pctWidth>
            </wp14:sizeRelH>
            <wp14:sizeRelV relativeFrom="page">
              <wp14:pctHeight>0</wp14:pctHeight>
            </wp14:sizeRelV>
          </wp:anchor>
        </w:drawing>
      </w:r>
      <w:r w:rsidR="00705F89">
        <w:rPr>
          <w:noProof/>
        </w:rPr>
        <w:drawing>
          <wp:anchor distT="0" distB="0" distL="114300" distR="114300" simplePos="0" relativeHeight="251688960" behindDoc="0" locked="0" layoutInCell="1" allowOverlap="1" wp14:anchorId="2AB790C6" wp14:editId="44EFE888">
            <wp:simplePos x="0" y="0"/>
            <wp:positionH relativeFrom="column">
              <wp:posOffset>1132840</wp:posOffset>
            </wp:positionH>
            <wp:positionV relativeFrom="paragraph">
              <wp:posOffset>930275</wp:posOffset>
            </wp:positionV>
            <wp:extent cx="1367155" cy="398780"/>
            <wp:effectExtent l="0" t="0" r="4445" b="0"/>
            <wp:wrapNone/>
            <wp:docPr id="1937384311" name="Picture 4" descr="A blue letter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384311" name="Picture 4" descr="A blue letter on a white background&#10;&#10;AI-generated content may be incorrec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367155" cy="398780"/>
                    </a:xfrm>
                    <a:prstGeom prst="rect">
                      <a:avLst/>
                    </a:prstGeom>
                  </pic:spPr>
                </pic:pic>
              </a:graphicData>
            </a:graphic>
            <wp14:sizeRelH relativeFrom="page">
              <wp14:pctWidth>0</wp14:pctWidth>
            </wp14:sizeRelH>
            <wp14:sizeRelV relativeFrom="page">
              <wp14:pctHeight>0</wp14:pctHeight>
            </wp14:sizeRelV>
          </wp:anchor>
        </w:drawing>
      </w:r>
      <w:r w:rsidR="00705F89">
        <w:rPr>
          <w:noProof/>
        </w:rPr>
        <w:drawing>
          <wp:anchor distT="0" distB="0" distL="114300" distR="114300" simplePos="0" relativeHeight="251699200" behindDoc="0" locked="0" layoutInCell="1" allowOverlap="1" wp14:anchorId="3C5CA835" wp14:editId="7B8553E1">
            <wp:simplePos x="0" y="0"/>
            <wp:positionH relativeFrom="column">
              <wp:posOffset>2597785</wp:posOffset>
            </wp:positionH>
            <wp:positionV relativeFrom="paragraph">
              <wp:posOffset>2237740</wp:posOffset>
            </wp:positionV>
            <wp:extent cx="1536065" cy="471170"/>
            <wp:effectExtent l="0" t="0" r="635" b="0"/>
            <wp:wrapNone/>
            <wp:docPr id="1028396394" name="Picture 9" descr="A close 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396394" name="Picture 9" descr="A close up of a sign&#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536065" cy="471170"/>
                    </a:xfrm>
                    <a:prstGeom prst="rect">
                      <a:avLst/>
                    </a:prstGeom>
                  </pic:spPr>
                </pic:pic>
              </a:graphicData>
            </a:graphic>
            <wp14:sizeRelH relativeFrom="page">
              <wp14:pctWidth>0</wp14:pctWidth>
            </wp14:sizeRelH>
            <wp14:sizeRelV relativeFrom="page">
              <wp14:pctHeight>0</wp14:pctHeight>
            </wp14:sizeRelV>
          </wp:anchor>
        </w:drawing>
      </w:r>
      <w:r w:rsidR="00705F89">
        <w:rPr>
          <w:noProof/>
        </w:rPr>
        <w:drawing>
          <wp:anchor distT="0" distB="0" distL="114300" distR="114300" simplePos="0" relativeHeight="251691008" behindDoc="0" locked="0" layoutInCell="1" allowOverlap="1" wp14:anchorId="6986B2AA" wp14:editId="70D376E6">
            <wp:simplePos x="0" y="0"/>
            <wp:positionH relativeFrom="column">
              <wp:posOffset>1130300</wp:posOffset>
            </wp:positionH>
            <wp:positionV relativeFrom="paragraph">
              <wp:posOffset>1580515</wp:posOffset>
            </wp:positionV>
            <wp:extent cx="1467485" cy="411480"/>
            <wp:effectExtent l="0" t="0" r="5715" b="0"/>
            <wp:wrapNone/>
            <wp:docPr id="721272789" name="Picture 5"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272789" name="Picture 5" descr="A black and white logo&#10;&#10;AI-generated content may b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67485" cy="411480"/>
                    </a:xfrm>
                    <a:prstGeom prst="rect">
                      <a:avLst/>
                    </a:prstGeom>
                  </pic:spPr>
                </pic:pic>
              </a:graphicData>
            </a:graphic>
            <wp14:sizeRelH relativeFrom="page">
              <wp14:pctWidth>0</wp14:pctWidth>
            </wp14:sizeRelH>
            <wp14:sizeRelV relativeFrom="page">
              <wp14:pctHeight>0</wp14:pctHeight>
            </wp14:sizeRelV>
          </wp:anchor>
        </w:drawing>
      </w:r>
    </w:p>
    <w:p w14:paraId="5F933F18" w14:textId="0F25A46F" w:rsidR="00795C29" w:rsidRDefault="00795C29" w:rsidP="00987142">
      <w:pPr>
        <w:pStyle w:val="Heading2"/>
      </w:pPr>
    </w:p>
    <w:p w14:paraId="25D5F634" w14:textId="19F97BD9" w:rsidR="00795C29" w:rsidRDefault="00795C29" w:rsidP="00987142">
      <w:pPr>
        <w:pStyle w:val="Heading2"/>
      </w:pPr>
    </w:p>
    <w:p w14:paraId="2209F35C" w14:textId="2A50B9D4" w:rsidR="00481938" w:rsidRDefault="00987142" w:rsidP="00987142">
      <w:pPr>
        <w:pStyle w:val="Heading2"/>
      </w:pPr>
      <w:r>
        <w:t xml:space="preserve"> </w:t>
      </w:r>
    </w:p>
    <w:p w14:paraId="3FAB8808" w14:textId="7AA0A9AD" w:rsidR="009636F1" w:rsidRPr="00481938" w:rsidRDefault="00234534" w:rsidP="00481938">
      <w:r>
        <w:rPr>
          <w:noProof/>
        </w:rPr>
        <w:drawing>
          <wp:anchor distT="0" distB="0" distL="114300" distR="114300" simplePos="0" relativeHeight="251695104" behindDoc="0" locked="0" layoutInCell="1" allowOverlap="1" wp14:anchorId="7D68350F" wp14:editId="6AE5132E">
            <wp:simplePos x="0" y="0"/>
            <wp:positionH relativeFrom="column">
              <wp:posOffset>4325620</wp:posOffset>
            </wp:positionH>
            <wp:positionV relativeFrom="paragraph">
              <wp:posOffset>308109</wp:posOffset>
            </wp:positionV>
            <wp:extent cx="1177925" cy="628650"/>
            <wp:effectExtent l="0" t="0" r="3175" b="6350"/>
            <wp:wrapNone/>
            <wp:docPr id="274209538" name="Picture 7"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209538" name="Picture 7" descr="A blue and white logo&#10;&#10;AI-generated content may be incorrect."/>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177925" cy="628650"/>
                    </a:xfrm>
                    <a:prstGeom prst="rect">
                      <a:avLst/>
                    </a:prstGeom>
                  </pic:spPr>
                </pic:pic>
              </a:graphicData>
            </a:graphic>
            <wp14:sizeRelH relativeFrom="page">
              <wp14:pctWidth>0</wp14:pctWidth>
            </wp14:sizeRelH>
            <wp14:sizeRelV relativeFrom="page">
              <wp14:pctHeight>0</wp14:pctHeight>
            </wp14:sizeRelV>
          </wp:anchor>
        </w:drawing>
      </w:r>
    </w:p>
    <w:p w14:paraId="11249A3B" w14:textId="2746759B" w:rsidR="00FE0369" w:rsidRDefault="00FE0369" w:rsidP="00987142">
      <w:pPr>
        <w:pStyle w:val="Heading2"/>
      </w:pPr>
    </w:p>
    <w:p w14:paraId="52089BA9" w14:textId="54CD8E4E" w:rsidR="0084461C" w:rsidRDefault="0084461C" w:rsidP="0084461C"/>
    <w:p w14:paraId="0A4EA16C" w14:textId="413CAE78" w:rsidR="0084461C" w:rsidRDefault="0084461C" w:rsidP="0084461C"/>
    <w:p w14:paraId="4E48248E" w14:textId="59F8FEFA" w:rsidR="00987142" w:rsidRDefault="00987142" w:rsidP="00987142">
      <w:pPr>
        <w:ind w:left="0"/>
      </w:pPr>
    </w:p>
    <w:p w14:paraId="41FF9590" w14:textId="30BB1106" w:rsidR="00AD50C4" w:rsidRDefault="00AD50C4" w:rsidP="0019635E">
      <w:pPr>
        <w:pStyle w:val="Heading2"/>
      </w:pPr>
    </w:p>
    <w:p w14:paraId="6348A6D4" w14:textId="4CD20288" w:rsidR="009268E7" w:rsidRDefault="009268E7" w:rsidP="00B7585C">
      <w:pPr>
        <w:jc w:val="left"/>
      </w:pPr>
    </w:p>
    <w:p w14:paraId="40003B48" w14:textId="77777777" w:rsidR="00705F89" w:rsidRPr="0084461C" w:rsidRDefault="00705F89" w:rsidP="00B7585C">
      <w:pPr>
        <w:jc w:val="left"/>
      </w:pPr>
    </w:p>
    <w:sectPr w:rsidR="00705F89" w:rsidRPr="0084461C" w:rsidSect="0093266B">
      <w:headerReference w:type="default" r:id="rId19"/>
      <w:footerReference w:type="even" r:id="rId20"/>
      <w:footerReference w:type="default" r:id="rId21"/>
      <w:footnotePr>
        <w:numFmt w:val="lowerRoman"/>
      </w:footnotePr>
      <w:endnotePr>
        <w:numFmt w:val="decimal"/>
      </w:endnotePr>
      <w:pgSz w:w="11906" w:h="16838"/>
      <w:pgMar w:top="870" w:right="1394" w:bottom="972" w:left="1440" w:header="708" w:footer="8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A4C441" w14:textId="77777777" w:rsidR="00F6434F" w:rsidRDefault="00F6434F" w:rsidP="00452CA4">
      <w:r>
        <w:separator/>
      </w:r>
    </w:p>
  </w:endnote>
  <w:endnote w:type="continuationSeparator" w:id="0">
    <w:p w14:paraId="162633FF" w14:textId="77777777" w:rsidR="00F6434F" w:rsidRDefault="00F6434F" w:rsidP="00452CA4">
      <w:r>
        <w:continuationSeparator/>
      </w:r>
    </w:p>
  </w:endnote>
  <w:endnote w:id="1">
    <w:p w14:paraId="50CF5931" w14:textId="630032CB" w:rsidR="0010499D" w:rsidRDefault="0010499D" w:rsidP="0038227B">
      <w:pPr>
        <w:pStyle w:val="EndnoteText"/>
        <w:jc w:val="left"/>
      </w:pPr>
      <w:r>
        <w:rPr>
          <w:rStyle w:val="EndnoteReference"/>
        </w:rPr>
        <w:endnoteRef/>
      </w:r>
      <w:r>
        <w:t xml:space="preserve"> </w:t>
      </w:r>
      <w:r w:rsidR="00803241">
        <w:t>Centre for Reproductive Rights</w:t>
      </w:r>
      <w:r w:rsidR="00FB082A">
        <w:t>,</w:t>
      </w:r>
      <w:r w:rsidR="006368BB">
        <w:t xml:space="preserve"> Roe v. Wade </w:t>
      </w:r>
      <w:r w:rsidR="00FA4B07">
        <w:t xml:space="preserve"> </w:t>
      </w:r>
      <w:hyperlink r:id="rId1" w:history="1">
        <w:r w:rsidR="006368BB" w:rsidRPr="0074798E">
          <w:rPr>
            <w:rStyle w:val="Hyperlink"/>
          </w:rPr>
          <w:t>https://reproductiverights.org/roe-v-wade/</w:t>
        </w:r>
      </w:hyperlink>
      <w:r>
        <w:t xml:space="preserve"> </w:t>
      </w:r>
    </w:p>
  </w:endnote>
  <w:endnote w:id="2">
    <w:p w14:paraId="2ED1AFE5" w14:textId="3F55C55A" w:rsidR="1EDD49D5" w:rsidRDefault="1EDD49D5" w:rsidP="0038227B">
      <w:pPr>
        <w:pStyle w:val="EndnoteText"/>
        <w:jc w:val="left"/>
      </w:pPr>
      <w:r w:rsidRPr="1EDD49D5">
        <w:rPr>
          <w:rStyle w:val="EndnoteReference"/>
        </w:rPr>
        <w:endnoteRef/>
      </w:r>
      <w:r>
        <w:t xml:space="preserve"> </w:t>
      </w:r>
      <w:r w:rsidR="00803241">
        <w:t>Human Rights First</w:t>
      </w:r>
      <w:r w:rsidR="00FB082A">
        <w:t xml:space="preserve"> (2023)</w:t>
      </w:r>
      <w:r w:rsidR="00803241">
        <w:t xml:space="preserve"> </w:t>
      </w:r>
      <w:r w:rsidR="00186AB1">
        <w:t>Extremism fact sheet</w:t>
      </w:r>
      <w:r w:rsidR="00803241">
        <w:t xml:space="preserve"> </w:t>
      </w:r>
      <w:hyperlink r:id="rId2" w:history="1">
        <w:r w:rsidR="00803241" w:rsidRPr="0074798E">
          <w:rPr>
            <w:rStyle w:val="Hyperlink"/>
          </w:rPr>
          <w:t>https://humanrightsfirst.org/wp-content/uploads/2023/06/FINAL-HRF-Fact-Sheet-Anti-Trans-Extremism-June-2023.pdf</w:t>
        </w:r>
      </w:hyperlink>
      <w:r>
        <w:t> </w:t>
      </w:r>
    </w:p>
  </w:endnote>
  <w:endnote w:id="3">
    <w:p w14:paraId="7D2237D5" w14:textId="1616BC48" w:rsidR="40B9B7E9" w:rsidRDefault="40B9B7E9" w:rsidP="0038227B">
      <w:pPr>
        <w:pStyle w:val="EndnoteText"/>
        <w:jc w:val="left"/>
      </w:pPr>
      <w:r w:rsidRPr="40B9B7E9">
        <w:rPr>
          <w:rStyle w:val="EndnoteReference"/>
        </w:rPr>
        <w:endnoteRef/>
      </w:r>
      <w:r>
        <w:t xml:space="preserve"> </w:t>
      </w:r>
      <w:proofErr w:type="spellStart"/>
      <w:r w:rsidR="003676CD">
        <w:t>Skuster</w:t>
      </w:r>
      <w:proofErr w:type="spellEnd"/>
      <w:r w:rsidR="00EC4740">
        <w:t xml:space="preserve"> P</w:t>
      </w:r>
      <w:r w:rsidR="003676CD">
        <w:t>, Sully</w:t>
      </w:r>
      <w:r w:rsidR="00EC4740">
        <w:t xml:space="preserve"> EA</w:t>
      </w:r>
      <w:r w:rsidR="003676CD">
        <w:t>, Friedrich-Karnik</w:t>
      </w:r>
      <w:r w:rsidR="00EC4740">
        <w:t xml:space="preserve"> A</w:t>
      </w:r>
      <w:r w:rsidR="00FB082A">
        <w:t xml:space="preserve"> (2024)</w:t>
      </w:r>
      <w:r w:rsidR="00465F91">
        <w:t xml:space="preserve"> Evidence for ending the Global Gag Rule: A multiyear study in two countries</w:t>
      </w:r>
      <w:r w:rsidR="005C40F2">
        <w:t xml:space="preserve"> </w:t>
      </w:r>
      <w:hyperlink r:id="rId3" w:history="1">
        <w:r w:rsidR="00465F91" w:rsidRPr="0074798E">
          <w:rPr>
            <w:rStyle w:val="Hyperlink"/>
          </w:rPr>
          <w:t>https://www.guttmacher.org/report/evidence-for-ending-global-gag-rule</w:t>
        </w:r>
      </w:hyperlink>
      <w:r w:rsidR="004D62AD">
        <w:t xml:space="preserve"> </w:t>
      </w:r>
    </w:p>
  </w:endnote>
  <w:endnote w:id="4">
    <w:p w14:paraId="5A7E0E4A" w14:textId="4083850B" w:rsidR="009B3654" w:rsidRDefault="009B3654" w:rsidP="0038227B">
      <w:pPr>
        <w:pStyle w:val="EndnoteText"/>
        <w:jc w:val="left"/>
      </w:pPr>
      <w:r>
        <w:rPr>
          <w:rStyle w:val="EndnoteReference"/>
        </w:rPr>
        <w:endnoteRef/>
      </w:r>
      <w:r w:rsidR="0038227B">
        <w:t xml:space="preserve"> </w:t>
      </w:r>
      <w:r w:rsidR="00384AF3">
        <w:t>The Observatory on the Universality of Rights</w:t>
      </w:r>
      <w:r w:rsidR="00FB082A">
        <w:t xml:space="preserve"> (2021)</w:t>
      </w:r>
      <w:r w:rsidR="00384AF3">
        <w:t xml:space="preserve"> Rights at Risk</w:t>
      </w:r>
      <w:r w:rsidR="00925CB9">
        <w:t>: Time for Action</w:t>
      </w:r>
      <w:r w:rsidR="00FB082A">
        <w:t xml:space="preserve"> </w:t>
      </w:r>
      <w:hyperlink r:id="rId4" w:history="1">
        <w:r w:rsidR="00FB082A" w:rsidRPr="0074798E">
          <w:rPr>
            <w:rStyle w:val="Hyperlink"/>
          </w:rPr>
          <w:t>https://www.awid.org/sites/default/files/2022-01/Ch4_RightsAtRisk_TimeForAction_2021.pdf</w:t>
        </w:r>
      </w:hyperlink>
    </w:p>
  </w:endnote>
  <w:endnote w:id="5">
    <w:p w14:paraId="1B4089BF" w14:textId="37C6C777" w:rsidR="00AA5256" w:rsidRDefault="00AA5256" w:rsidP="0038227B">
      <w:pPr>
        <w:pStyle w:val="EndnoteText"/>
        <w:jc w:val="left"/>
      </w:pPr>
      <w:r>
        <w:rPr>
          <w:rStyle w:val="EndnoteReference"/>
        </w:rPr>
        <w:endnoteRef/>
      </w:r>
      <w:r>
        <w:t xml:space="preserve"> </w:t>
      </w:r>
      <w:r w:rsidR="00925CB9">
        <w:t xml:space="preserve">United Nations General Assembly </w:t>
      </w:r>
      <w:r w:rsidR="00FB082A">
        <w:t>(</w:t>
      </w:r>
      <w:r w:rsidR="00925CB9">
        <w:t>2020</w:t>
      </w:r>
      <w:r w:rsidR="00FB082A">
        <w:t>)</w:t>
      </w:r>
      <w:r w:rsidR="00925CB9">
        <w:t xml:space="preserve"> </w:t>
      </w:r>
      <w:r w:rsidR="00772873">
        <w:t>Agenda item 131: Global health and foreign policy</w:t>
      </w:r>
      <w:r w:rsidR="00565350">
        <w:t>, Letter</w:t>
      </w:r>
      <w:r w:rsidR="00753E01">
        <w:t xml:space="preserve"> from the Permanent Representative of the United States of America</w:t>
      </w:r>
      <w:r w:rsidR="00772873">
        <w:t xml:space="preserve"> </w:t>
      </w:r>
      <w:hyperlink r:id="rId5" w:history="1">
        <w:r w:rsidR="00A658FA" w:rsidRPr="0074798E">
          <w:rPr>
            <w:rStyle w:val="Hyperlink"/>
          </w:rPr>
          <w:t>https://docs.un.org/en/A/75/626</w:t>
        </w:r>
      </w:hyperlink>
      <w:r>
        <w:t xml:space="preserve"> </w:t>
      </w:r>
    </w:p>
  </w:endnote>
  <w:endnote w:id="6">
    <w:p w14:paraId="66CBF498" w14:textId="31BF12DF" w:rsidR="2F415A4B" w:rsidRDefault="2F415A4B" w:rsidP="0038227B">
      <w:pPr>
        <w:pStyle w:val="EndnoteText"/>
        <w:jc w:val="left"/>
      </w:pPr>
      <w:r w:rsidRPr="2F415A4B">
        <w:rPr>
          <w:rStyle w:val="EndnoteReference"/>
        </w:rPr>
        <w:endnoteRef/>
      </w:r>
      <w:r>
        <w:t xml:space="preserve"> </w:t>
      </w:r>
      <w:r w:rsidR="003F59F0">
        <w:t>Holmes</w:t>
      </w:r>
      <w:r w:rsidR="00FB082A">
        <w:t xml:space="preserve"> R</w:t>
      </w:r>
      <w:r w:rsidR="003F59F0">
        <w:t xml:space="preserve"> </w:t>
      </w:r>
      <w:r w:rsidR="00FB082A">
        <w:t>(</w:t>
      </w:r>
      <w:r w:rsidR="003F59F0">
        <w:t>2024</w:t>
      </w:r>
      <w:r w:rsidR="00FB082A">
        <w:t>)</w:t>
      </w:r>
      <w:r w:rsidR="00B03ADA">
        <w:t xml:space="preserve"> ODI Briefing Note: Feminist responses to ‘norm-spoiling’ at the United Nations </w:t>
      </w:r>
      <w:hyperlink r:id="rId6" w:history="1">
        <w:r w:rsidR="00B03ADA" w:rsidRPr="0074798E">
          <w:rPr>
            <w:rStyle w:val="Hyperlink"/>
            <w:lang w:val="en-GB"/>
          </w:rPr>
          <w:t>https://media.odi.org/documents/ODI-FeministResponseNormSpoiling-Briefingnote_Final_Z2fwTg4.pdf</w:t>
        </w:r>
      </w:hyperlink>
      <w:r>
        <w:t xml:space="preserve"> </w:t>
      </w:r>
    </w:p>
  </w:endnote>
  <w:endnote w:id="7">
    <w:p w14:paraId="532F0EAF" w14:textId="12DA8E90" w:rsidR="2F415A4B" w:rsidRDefault="2F415A4B" w:rsidP="0038227B">
      <w:pPr>
        <w:pStyle w:val="EndnoteText"/>
        <w:jc w:val="left"/>
      </w:pPr>
      <w:r w:rsidRPr="2F415A4B">
        <w:rPr>
          <w:rStyle w:val="EndnoteReference"/>
        </w:rPr>
        <w:endnoteRef/>
      </w:r>
      <w:r>
        <w:t xml:space="preserve"> </w:t>
      </w:r>
      <w:r w:rsidR="00B03ADA">
        <w:t>Countdown 2030</w:t>
      </w:r>
      <w:r w:rsidR="00C30551">
        <w:t xml:space="preserve"> Europe 2025. Country Profiles: Sweden </w:t>
      </w:r>
      <w:hyperlink r:id="rId7" w:history="1">
        <w:r w:rsidR="00C30551" w:rsidRPr="0074798E">
          <w:rPr>
            <w:rStyle w:val="Hyperlink"/>
            <w:lang w:val="en-GB"/>
          </w:rPr>
          <w:t>https://www.countdown2030europe.org/sweden/</w:t>
        </w:r>
      </w:hyperlink>
      <w:r>
        <w:t xml:space="preserve"> </w:t>
      </w:r>
    </w:p>
  </w:endnote>
  <w:endnote w:id="8">
    <w:p w14:paraId="25F2E3F5" w14:textId="7D0F5D02" w:rsidR="2F415A4B" w:rsidRDefault="2F415A4B" w:rsidP="0038227B">
      <w:pPr>
        <w:pStyle w:val="EndnoteText"/>
        <w:jc w:val="left"/>
      </w:pPr>
      <w:r w:rsidRPr="2F415A4B">
        <w:rPr>
          <w:rStyle w:val="EndnoteReference"/>
        </w:rPr>
        <w:endnoteRef/>
      </w:r>
      <w:r>
        <w:t xml:space="preserve"> </w:t>
      </w:r>
      <w:r w:rsidR="00EE0510">
        <w:t xml:space="preserve">Guttmacher (2024) Policy Analysis. Just the numbers: The impact of Dutch international assistance for family planning and HIV, 2024 </w:t>
      </w:r>
      <w:hyperlink r:id="rId8" w:history="1">
        <w:r w:rsidR="00EE0510" w:rsidRPr="0074798E">
          <w:rPr>
            <w:rStyle w:val="Hyperlink"/>
            <w:lang w:val="en-GB"/>
          </w:rPr>
          <w:t>https://www.guttmacher.org/2024/10/just-numbers-impact-dutch-international-assistance-family-planning-and-hiv-2024</w:t>
        </w:r>
      </w:hyperlink>
      <w:r>
        <w:t xml:space="preserve"> </w:t>
      </w:r>
    </w:p>
  </w:endnote>
  <w:endnote w:id="9">
    <w:p w14:paraId="7C058300" w14:textId="671D2DA9" w:rsidR="0010499D" w:rsidRDefault="0010499D" w:rsidP="0038227B">
      <w:pPr>
        <w:pStyle w:val="EndnoteText"/>
        <w:jc w:val="left"/>
      </w:pPr>
      <w:r>
        <w:rPr>
          <w:rStyle w:val="EndnoteReference"/>
        </w:rPr>
        <w:endnoteRef/>
      </w:r>
      <w:r>
        <w:t xml:space="preserve"> </w:t>
      </w:r>
      <w:r w:rsidR="009268E7">
        <w:t xml:space="preserve">Holmes R (2024) ODI Briefing Note: Feminist responses to ‘norm-spoiling’ at the United Nations </w:t>
      </w:r>
      <w:hyperlink r:id="rId9" w:history="1">
        <w:r w:rsidRPr="0010499D">
          <w:rPr>
            <w:rStyle w:val="Hyperlink"/>
            <w:lang w:val="en-GB"/>
          </w:rPr>
          <w:t>https://media.odi.org/documents/ODI-FeministResponseNormSpoiling-Briefingnote_Final_Z2fwTg4.pdf</w:t>
        </w:r>
      </w:hyperlink>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Times New Roman (Headings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01198583"/>
      <w:docPartObj>
        <w:docPartGallery w:val="Page Numbers (Bottom of Page)"/>
        <w:docPartUnique/>
      </w:docPartObj>
    </w:sdtPr>
    <w:sdtEndPr>
      <w:rPr>
        <w:rStyle w:val="PageNumber"/>
      </w:rPr>
    </w:sdtEndPr>
    <w:sdtContent>
      <w:p w14:paraId="2BAEE2F0" w14:textId="3F053F3A" w:rsidR="007D4137" w:rsidRDefault="007D4137" w:rsidP="00452CA4">
        <w:pPr>
          <w:pStyle w:val="Footer"/>
          <w:rPr>
            <w:rStyle w:val="PageNumber"/>
          </w:rPr>
        </w:pPr>
        <w:r w:rsidRPr="37C4F008">
          <w:rPr>
            <w:rStyle w:val="PageNumber"/>
          </w:rPr>
          <w:fldChar w:fldCharType="begin"/>
        </w:r>
        <w:r w:rsidRPr="37C4F008">
          <w:rPr>
            <w:rStyle w:val="PageNumber"/>
          </w:rPr>
          <w:instrText xml:space="preserve"> PAGE </w:instrText>
        </w:r>
        <w:r w:rsidRPr="37C4F008">
          <w:rPr>
            <w:rStyle w:val="PageNumber"/>
          </w:rPr>
          <w:fldChar w:fldCharType="end"/>
        </w:r>
      </w:p>
    </w:sdtContent>
  </w:sdt>
  <w:p w14:paraId="3FAB5A2A" w14:textId="77777777" w:rsidR="007D4137" w:rsidRDefault="007D4137" w:rsidP="00452C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C2424C" w14:textId="16DB2A40" w:rsidR="007D4137" w:rsidRDefault="00EE220E" w:rsidP="00627ADE">
    <w:pPr>
      <w:pStyle w:val="Footer"/>
      <w:tabs>
        <w:tab w:val="center" w:pos="5386"/>
        <w:tab w:val="right" w:pos="9072"/>
      </w:tabs>
      <w:jc w:val="center"/>
    </w:pPr>
    <w:hyperlink r:id="rId1" w:history="1">
      <w:r w:rsidRPr="0074798E">
        <w:rPr>
          <w:rStyle w:val="Hyperlink"/>
        </w:rPr>
        <w:t>www.srhrconsortium.org</w:t>
      </w:r>
    </w:hyperlink>
    <w:r w:rsidR="00776029">
      <w:t xml:space="preserve"> </w:t>
    </w:r>
    <w:r w:rsidR="00197092">
      <w:tab/>
    </w:r>
    <w:r w:rsidR="00627ADE">
      <w:tab/>
    </w:r>
    <w:r w:rsidR="00627ADE">
      <w:tab/>
    </w:r>
    <w:r w:rsidR="00197092">
      <w:fldChar w:fldCharType="begin"/>
    </w:r>
    <w:r w:rsidR="00197092">
      <w:instrText xml:space="preserve"> PAGE  \* MERGEFORMAT </w:instrText>
    </w:r>
    <w:r w:rsidR="00197092">
      <w:fldChar w:fldCharType="separate"/>
    </w:r>
    <w:r w:rsidR="00197092">
      <w:rPr>
        <w:noProof/>
      </w:rPr>
      <w:t>2</w:t>
    </w:r>
    <w:r w:rsidR="00197092">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A1516F" w14:textId="77777777" w:rsidR="00F6434F" w:rsidRDefault="00F6434F" w:rsidP="00452CA4">
      <w:r>
        <w:separator/>
      </w:r>
    </w:p>
  </w:footnote>
  <w:footnote w:type="continuationSeparator" w:id="0">
    <w:p w14:paraId="5399BEA8" w14:textId="77777777" w:rsidR="00F6434F" w:rsidRDefault="00F6434F" w:rsidP="00452CA4">
      <w:r>
        <w:continuationSeparator/>
      </w:r>
    </w:p>
  </w:footnote>
  <w:footnote w:id="1">
    <w:p w14:paraId="7848AE27" w14:textId="67B5E8BD" w:rsidR="4E5EA64A" w:rsidRDefault="4E5EA64A" w:rsidP="00452CA4">
      <w:pPr>
        <w:pStyle w:val="FootnoteText"/>
      </w:pPr>
      <w:r w:rsidRPr="4E5EA64A">
        <w:rPr>
          <w:rStyle w:val="FootnoteReference"/>
        </w:rPr>
        <w:footnoteRef/>
      </w:r>
      <w:r>
        <w:t xml:space="preserve"> </w:t>
      </w:r>
      <w:r w:rsidR="0010499D">
        <w:t>‘</w:t>
      </w:r>
      <w:r w:rsidR="0010499D" w:rsidRPr="0010499D">
        <w:rPr>
          <w:b/>
          <w:bCs/>
        </w:rPr>
        <w:t>Pro-natalist</w:t>
      </w:r>
      <w:r w:rsidR="0010499D">
        <w:t>’</w:t>
      </w:r>
      <w:r>
        <w:t xml:space="preserve"> refers to policies that encourage women to have more children </w:t>
      </w:r>
      <w:proofErr w:type="gramStart"/>
      <w:r>
        <w:t>in order to</w:t>
      </w:r>
      <w:proofErr w:type="gramEnd"/>
      <w:r>
        <w:t xml:space="preserve"> increase total fertility rates.</w:t>
      </w:r>
    </w:p>
    <w:p w14:paraId="7698D036" w14:textId="77777777" w:rsidR="0010499D" w:rsidRDefault="0010499D" w:rsidP="00452CA4">
      <w:pPr>
        <w:pStyle w:val="FootnoteText"/>
      </w:pPr>
    </w:p>
  </w:footnote>
  <w:footnote w:id="2">
    <w:p w14:paraId="6674AA94" w14:textId="31A948AE" w:rsidR="00BB6AAD" w:rsidRDefault="00BB6AAD" w:rsidP="00452CA4">
      <w:pPr>
        <w:pStyle w:val="FootnoteText"/>
      </w:pPr>
      <w:r>
        <w:rPr>
          <w:rStyle w:val="FootnoteReference"/>
        </w:rPr>
        <w:footnoteRef/>
      </w:r>
      <w:r>
        <w:t xml:space="preserve"> </w:t>
      </w:r>
      <w:r w:rsidRPr="00534073">
        <w:rPr>
          <w:b/>
          <w:bCs/>
        </w:rPr>
        <w:t>Roe v. Wade</w:t>
      </w:r>
      <w:r w:rsidRPr="00534073">
        <w:t xml:space="preserve"> was a landmark 1973 U.S. Supreme Court decision that established a constitutional right to abortion, grounded in the right to privacy under the Fourteenth Amendment. It prevented states from banning abortion outright, particularly during the first two trimesters of pregnancy, and served as a protective precedent for nearly 50 years.</w:t>
      </w:r>
      <w:r>
        <w:t xml:space="preserve"> </w:t>
      </w:r>
      <w:r w:rsidRPr="00534073">
        <w:t xml:space="preserve">The </w:t>
      </w:r>
      <w:r w:rsidRPr="00534073">
        <w:rPr>
          <w:b/>
          <w:bCs/>
        </w:rPr>
        <w:t>overturning of Roe v. Wade</w:t>
      </w:r>
      <w:r w:rsidRPr="00534073">
        <w:t xml:space="preserve"> in the 2022 </w:t>
      </w:r>
      <w:r w:rsidRPr="00534073">
        <w:rPr>
          <w:i/>
          <w:iCs/>
        </w:rPr>
        <w:t>Dobbs v. Jackson Women's Health Organization</w:t>
      </w:r>
      <w:r w:rsidRPr="00534073">
        <w:t xml:space="preserve"> decision was significant because it ended federal protection for abortion rights, allowing individual states to fully regulate or ban abortion. </w:t>
      </w:r>
    </w:p>
    <w:p w14:paraId="24C0D419" w14:textId="77777777" w:rsidR="00BB6AAD" w:rsidRDefault="00BB6AAD" w:rsidP="00452CA4">
      <w:pPr>
        <w:pStyle w:val="FootnoteText"/>
      </w:pPr>
    </w:p>
  </w:footnote>
  <w:footnote w:id="3">
    <w:p w14:paraId="2349932F" w14:textId="5E4C0A52" w:rsidR="40B9B7E9" w:rsidRDefault="40B9B7E9" w:rsidP="0093266B">
      <w:pPr>
        <w:pStyle w:val="FootnoteText"/>
      </w:pPr>
      <w:r w:rsidRPr="40B9B7E9">
        <w:rPr>
          <w:rStyle w:val="FootnoteReference"/>
        </w:rPr>
        <w:footnoteRef/>
      </w:r>
      <w:r>
        <w:t xml:space="preserve"> The </w:t>
      </w:r>
      <w:r w:rsidRPr="40B9B7E9">
        <w:rPr>
          <w:b/>
          <w:bCs/>
        </w:rPr>
        <w:t>Mexico City Policy</w:t>
      </w:r>
      <w:r>
        <w:t xml:space="preserve">, also known as the </w:t>
      </w:r>
      <w:r w:rsidRPr="40B9B7E9">
        <w:rPr>
          <w:b/>
          <w:bCs/>
        </w:rPr>
        <w:t>Global Gag Rule (GGR)</w:t>
      </w:r>
      <w:r>
        <w:t xml:space="preserve">, is a U.S. government policy that prohibits foreign non-governmental organisations (NGOs) receiving U.S. </w:t>
      </w:r>
      <w:r w:rsidR="001109F1">
        <w:t>foreign assistance</w:t>
      </w:r>
      <w:r>
        <w:t xml:space="preserve"> from providing, advocating for, or referring clients to abortion services, even with non-U.S. funds and even if abortion is legal in their country. The policy reinstated under </w:t>
      </w:r>
      <w:r w:rsidR="00AC1A54">
        <w:t>the Trump Administration’s</w:t>
      </w:r>
      <w:r>
        <w:t xml:space="preserve"> first term (2017-2021) was expanded to apply to all foreign organisations receiving global health assistance from any US department or agency.</w:t>
      </w:r>
    </w:p>
    <w:p w14:paraId="78CA599A" w14:textId="77777777" w:rsidR="0093266B" w:rsidRDefault="0093266B" w:rsidP="0093266B">
      <w:pPr>
        <w:pStyle w:val="FootnoteText"/>
      </w:pPr>
    </w:p>
  </w:footnote>
  <w:footnote w:id="4">
    <w:p w14:paraId="54D1AC9B" w14:textId="4E0A59EE" w:rsidR="278EFA6A" w:rsidRDefault="278EFA6A" w:rsidP="00452CA4">
      <w:pPr>
        <w:pStyle w:val="FootnoteText"/>
      </w:pPr>
      <w:r w:rsidRPr="278EFA6A">
        <w:rPr>
          <w:rStyle w:val="FootnoteReference"/>
        </w:rPr>
        <w:footnoteRef/>
      </w:r>
      <w:r>
        <w:t xml:space="preserve"> The </w:t>
      </w:r>
      <w:r w:rsidRPr="278EFA6A">
        <w:rPr>
          <w:rStyle w:val="Strong"/>
        </w:rPr>
        <w:t>Geneva Consensus Declaration</w:t>
      </w:r>
      <w:r w:rsidR="00230905">
        <w:rPr>
          <w:rStyle w:val="Strong"/>
        </w:rPr>
        <w:t xml:space="preserve"> on Promoting Women’s Health and Strengthening the Family</w:t>
      </w:r>
      <w:r>
        <w:t xml:space="preserve"> is an international </w:t>
      </w:r>
      <w:r w:rsidR="00491BAB">
        <w:t>document initiated</w:t>
      </w:r>
      <w:r>
        <w:t xml:space="preserve"> in 2020</w:t>
      </w:r>
      <w:r w:rsidR="00491BAB">
        <w:t xml:space="preserve"> by the U.S. Secretary of State and </w:t>
      </w:r>
      <w:r w:rsidR="00DB112B">
        <w:t xml:space="preserve">initially </w:t>
      </w:r>
      <w:r w:rsidR="00491BAB">
        <w:t>sponsored</w:t>
      </w:r>
      <w:r>
        <w:t xml:space="preserve"> by the United States, Brazil, Egypt, Hungary, Indonesia, and Uganda. </w:t>
      </w:r>
      <w:r w:rsidR="00E447ED">
        <w:t>Brazil subsequently withdrew from the document, b</w:t>
      </w:r>
      <w:r w:rsidR="001A7998">
        <w:t xml:space="preserve">ut </w:t>
      </w:r>
      <w:r w:rsidR="00B605CA">
        <w:t>representatives</w:t>
      </w:r>
      <w:r w:rsidR="001A7998">
        <w:t xml:space="preserve"> from 34 countries signed the document on October 22, 2020.  </w:t>
      </w:r>
      <w:r>
        <w:t>It is framed as promoting women’s health, family values, and national sovereignty, while explicitly rejecting the notion of abortion as a human right</w:t>
      </w:r>
      <w:r w:rsidR="0091339A">
        <w:t xml:space="preserve"> (</w:t>
      </w:r>
      <w:hyperlink r:id="rId1" w:history="1">
        <w:r w:rsidR="0091339A" w:rsidRPr="0074798E">
          <w:rPr>
            <w:rStyle w:val="Hyperlink"/>
          </w:rPr>
          <w:t>https://www.theiwh.org/wp-content/uploads/2024/11/Geneva-Consensus-Declaration-GCD-English-2024.pdf</w:t>
        </w:r>
      </w:hyperlink>
      <w:r w:rsidR="0091339A">
        <w:t xml:space="preserve">) </w:t>
      </w:r>
    </w:p>
    <w:p w14:paraId="280DFEED" w14:textId="77777777" w:rsidR="278EFA6A" w:rsidRDefault="278EFA6A" w:rsidP="00452CA4">
      <w:pPr>
        <w:pStyle w:val="FootnoteText"/>
      </w:pPr>
    </w:p>
  </w:footnote>
  <w:footnote w:id="5">
    <w:p w14:paraId="4B527D04" w14:textId="28C77A21" w:rsidR="007D7CF6" w:rsidRDefault="278EFA6A" w:rsidP="00452CA4">
      <w:pPr>
        <w:pStyle w:val="FootnoteText"/>
      </w:pPr>
      <w:r w:rsidRPr="278EFA6A">
        <w:rPr>
          <w:rStyle w:val="FootnoteReference"/>
        </w:rPr>
        <w:footnoteRef/>
      </w:r>
      <w:r>
        <w:t xml:space="preserve"> The </w:t>
      </w:r>
      <w:r w:rsidRPr="278EFA6A">
        <w:rPr>
          <w:b/>
          <w:bCs/>
        </w:rPr>
        <w:t>Declaration on Women’s Sex-Based Rights</w:t>
      </w:r>
      <w:r>
        <w:t xml:space="preserve"> was developed by Women’s Declaration International (WDI), </w:t>
      </w:r>
      <w:r w:rsidR="00BD481B">
        <w:t>based in the UK, and</w:t>
      </w:r>
      <w:r>
        <w:t xml:space="preserve"> asserts that women’s rights should be based on biological sex rather than gender identity. The declaration opposes gender identity laws, calls for the protection of female-only categories</w:t>
      </w:r>
      <w:r w:rsidR="003B300E">
        <w:t xml:space="preserve"> in sports</w:t>
      </w:r>
      <w:r>
        <w:t>, and challenges gender-affirming medical care, especially for minors</w:t>
      </w:r>
    </w:p>
    <w:p w14:paraId="1F229FB5" w14:textId="02B1BF2A" w:rsidR="278EFA6A" w:rsidRDefault="007D7CF6" w:rsidP="0093266B">
      <w:pPr>
        <w:pStyle w:val="FootnoteText"/>
      </w:pPr>
      <w:r>
        <w:t>(</w:t>
      </w:r>
      <w:hyperlink r:id="rId2" w:history="1">
        <w:r w:rsidRPr="0074798E">
          <w:rPr>
            <w:rStyle w:val="Hyperlink"/>
          </w:rPr>
          <w:t>https://www.womensdeclaration.com/documents/43/A5_Declaration_Booklet.pdf</w:t>
        </w:r>
      </w:hyperlink>
      <w:r>
        <w:t>)</w:t>
      </w:r>
    </w:p>
    <w:p w14:paraId="7455E191" w14:textId="77777777" w:rsidR="0093266B" w:rsidRDefault="0093266B" w:rsidP="0093266B">
      <w:pPr>
        <w:pStyle w:val="FootnoteText"/>
      </w:pPr>
    </w:p>
  </w:footnote>
  <w:footnote w:id="6">
    <w:p w14:paraId="31559E9A" w14:textId="77777777" w:rsidR="008129A7" w:rsidRDefault="008129A7" w:rsidP="00452CA4">
      <w:pPr>
        <w:pStyle w:val="FootnoteText"/>
      </w:pPr>
      <w:r>
        <w:rPr>
          <w:rStyle w:val="FootnoteReference"/>
        </w:rPr>
        <w:footnoteRef/>
      </w:r>
      <w:r>
        <w:t xml:space="preserve"> Australia has a commitment to gender-equality outcomes in international development cooperation but only 0.46% of bilateral aid is directed to women’s rights organisations amid an overall decrease in ODA for strengthening civil society.</w:t>
      </w:r>
    </w:p>
    <w:p w14:paraId="0D9F6EC5" w14:textId="77777777" w:rsidR="00627ADE" w:rsidRDefault="00627ADE" w:rsidP="00452CA4">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50FC0" w14:textId="01DA5B72" w:rsidR="00CE26D2" w:rsidRDefault="00CE26D2">
    <w:pPr>
      <w:pStyle w:val="Header"/>
    </w:pPr>
    <w:r>
      <w:rPr>
        <w:noProof/>
      </w:rPr>
      <mc:AlternateContent>
        <mc:Choice Requires="wps">
          <w:drawing>
            <wp:anchor distT="0" distB="0" distL="114300" distR="114300" simplePos="0" relativeHeight="251661312" behindDoc="0" locked="0" layoutInCell="1" allowOverlap="1" wp14:anchorId="30F2D33F" wp14:editId="1A6C08E0">
              <wp:simplePos x="0" y="0"/>
              <wp:positionH relativeFrom="column">
                <wp:posOffset>-938664</wp:posOffset>
              </wp:positionH>
              <wp:positionV relativeFrom="paragraph">
                <wp:posOffset>-474345</wp:posOffset>
              </wp:positionV>
              <wp:extent cx="1148715" cy="11089675"/>
              <wp:effectExtent l="0" t="0" r="0" b="0"/>
              <wp:wrapNone/>
              <wp:docPr id="1603818757" name="Rectangle 1"/>
              <wp:cNvGraphicFramePr/>
              <a:graphic xmlns:a="http://schemas.openxmlformats.org/drawingml/2006/main">
                <a:graphicData uri="http://schemas.microsoft.com/office/word/2010/wordprocessingShape">
                  <wps:wsp>
                    <wps:cNvSpPr/>
                    <wps:spPr>
                      <a:xfrm>
                        <a:off x="0" y="0"/>
                        <a:ext cx="1148715" cy="11089675"/>
                      </a:xfrm>
                      <a:prstGeom prst="rect">
                        <a:avLst/>
                      </a:prstGeom>
                      <a:solidFill>
                        <a:srgbClr val="1D9999">
                          <a:alpha val="74902"/>
                        </a:srgb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3BB5B3" id="Rectangle 1" o:spid="_x0000_s1026" style="position:absolute;margin-left:-73.9pt;margin-top:-37.35pt;width:90.45pt;height:873.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" fillcolor="#1d9999" stroked="f" strokeweight="1pt">
              <v:fill opacity="49087f"/>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5C64E1"/>
    <w:multiLevelType w:val="hybridMultilevel"/>
    <w:tmpl w:val="08E0DB5E"/>
    <w:lvl w:ilvl="0" w:tplc="4A2246F2">
      <w:start w:val="30"/>
      <w:numFmt w:val="bullet"/>
      <w:lvlText w:val="-"/>
      <w:lvlJc w:val="left"/>
      <w:pPr>
        <w:ind w:left="720" w:hanging="360"/>
      </w:pPr>
      <w:rPr>
        <w:rFonts w:ascii="Aptos" w:hAnsi="Aptos" w:hint="default"/>
      </w:rPr>
    </w:lvl>
    <w:lvl w:ilvl="1" w:tplc="1E4C9C92" w:tentative="1">
      <w:start w:val="1"/>
      <w:numFmt w:val="bullet"/>
      <w:lvlText w:val="o"/>
      <w:lvlJc w:val="left"/>
      <w:pPr>
        <w:ind w:left="1440" w:hanging="360"/>
      </w:pPr>
      <w:rPr>
        <w:rFonts w:ascii="Courier New" w:hAnsi="Courier New" w:hint="default"/>
      </w:rPr>
    </w:lvl>
    <w:lvl w:ilvl="2" w:tplc="0FB6373A" w:tentative="1">
      <w:start w:val="1"/>
      <w:numFmt w:val="bullet"/>
      <w:lvlText w:val=""/>
      <w:lvlJc w:val="left"/>
      <w:pPr>
        <w:ind w:left="2160" w:hanging="360"/>
      </w:pPr>
      <w:rPr>
        <w:rFonts w:ascii="Wingdings" w:hAnsi="Wingdings" w:hint="default"/>
      </w:rPr>
    </w:lvl>
    <w:lvl w:ilvl="3" w:tplc="09848490" w:tentative="1">
      <w:start w:val="1"/>
      <w:numFmt w:val="bullet"/>
      <w:lvlText w:val=""/>
      <w:lvlJc w:val="left"/>
      <w:pPr>
        <w:ind w:left="2880" w:hanging="360"/>
      </w:pPr>
      <w:rPr>
        <w:rFonts w:ascii="Symbol" w:hAnsi="Symbol" w:hint="default"/>
      </w:rPr>
    </w:lvl>
    <w:lvl w:ilvl="4" w:tplc="FA00625E" w:tentative="1">
      <w:start w:val="1"/>
      <w:numFmt w:val="bullet"/>
      <w:lvlText w:val="o"/>
      <w:lvlJc w:val="left"/>
      <w:pPr>
        <w:ind w:left="3600" w:hanging="360"/>
      </w:pPr>
      <w:rPr>
        <w:rFonts w:ascii="Courier New" w:hAnsi="Courier New" w:hint="default"/>
      </w:rPr>
    </w:lvl>
    <w:lvl w:ilvl="5" w:tplc="2C84475E" w:tentative="1">
      <w:start w:val="1"/>
      <w:numFmt w:val="bullet"/>
      <w:lvlText w:val=""/>
      <w:lvlJc w:val="left"/>
      <w:pPr>
        <w:ind w:left="4320" w:hanging="360"/>
      </w:pPr>
      <w:rPr>
        <w:rFonts w:ascii="Wingdings" w:hAnsi="Wingdings" w:hint="default"/>
      </w:rPr>
    </w:lvl>
    <w:lvl w:ilvl="6" w:tplc="78D02730" w:tentative="1">
      <w:start w:val="1"/>
      <w:numFmt w:val="bullet"/>
      <w:lvlText w:val=""/>
      <w:lvlJc w:val="left"/>
      <w:pPr>
        <w:ind w:left="5040" w:hanging="360"/>
      </w:pPr>
      <w:rPr>
        <w:rFonts w:ascii="Symbol" w:hAnsi="Symbol" w:hint="default"/>
      </w:rPr>
    </w:lvl>
    <w:lvl w:ilvl="7" w:tplc="E7A09D90" w:tentative="1">
      <w:start w:val="1"/>
      <w:numFmt w:val="bullet"/>
      <w:lvlText w:val="o"/>
      <w:lvlJc w:val="left"/>
      <w:pPr>
        <w:ind w:left="5760" w:hanging="360"/>
      </w:pPr>
      <w:rPr>
        <w:rFonts w:ascii="Courier New" w:hAnsi="Courier New" w:hint="default"/>
      </w:rPr>
    </w:lvl>
    <w:lvl w:ilvl="8" w:tplc="3C32AE66" w:tentative="1">
      <w:start w:val="1"/>
      <w:numFmt w:val="bullet"/>
      <w:lvlText w:val=""/>
      <w:lvlJc w:val="left"/>
      <w:pPr>
        <w:ind w:left="6480" w:hanging="360"/>
      </w:pPr>
      <w:rPr>
        <w:rFonts w:ascii="Wingdings" w:hAnsi="Wingdings" w:hint="default"/>
      </w:rPr>
    </w:lvl>
  </w:abstractNum>
  <w:abstractNum w:abstractNumId="1" w15:restartNumberingAfterBreak="0">
    <w:nsid w:val="1AE74894"/>
    <w:multiLevelType w:val="hybridMultilevel"/>
    <w:tmpl w:val="D0E8CC98"/>
    <w:lvl w:ilvl="0" w:tplc="21E0130E">
      <w:start w:val="1"/>
      <w:numFmt w:val="bullet"/>
      <w:lvlText w:val=""/>
      <w:lvlJc w:val="left"/>
      <w:pPr>
        <w:ind w:left="720" w:hanging="360"/>
      </w:pPr>
      <w:rPr>
        <w:rFonts w:ascii="Symbol" w:hAnsi="Symbol" w:hint="default"/>
      </w:rPr>
    </w:lvl>
    <w:lvl w:ilvl="1" w:tplc="49E2E4AC" w:tentative="1">
      <w:start w:val="1"/>
      <w:numFmt w:val="bullet"/>
      <w:lvlText w:val="o"/>
      <w:lvlJc w:val="left"/>
      <w:pPr>
        <w:ind w:left="1440" w:hanging="360"/>
      </w:pPr>
      <w:rPr>
        <w:rFonts w:ascii="Courier New" w:hAnsi="Courier New" w:hint="default"/>
      </w:rPr>
    </w:lvl>
    <w:lvl w:ilvl="2" w:tplc="51886248" w:tentative="1">
      <w:start w:val="1"/>
      <w:numFmt w:val="bullet"/>
      <w:lvlText w:val=""/>
      <w:lvlJc w:val="left"/>
      <w:pPr>
        <w:ind w:left="2160" w:hanging="360"/>
      </w:pPr>
      <w:rPr>
        <w:rFonts w:ascii="Wingdings" w:hAnsi="Wingdings" w:hint="default"/>
      </w:rPr>
    </w:lvl>
    <w:lvl w:ilvl="3" w:tplc="D00621C6" w:tentative="1">
      <w:start w:val="1"/>
      <w:numFmt w:val="bullet"/>
      <w:lvlText w:val=""/>
      <w:lvlJc w:val="left"/>
      <w:pPr>
        <w:ind w:left="2880" w:hanging="360"/>
      </w:pPr>
      <w:rPr>
        <w:rFonts w:ascii="Symbol" w:hAnsi="Symbol" w:hint="default"/>
      </w:rPr>
    </w:lvl>
    <w:lvl w:ilvl="4" w:tplc="08D89D74" w:tentative="1">
      <w:start w:val="1"/>
      <w:numFmt w:val="bullet"/>
      <w:lvlText w:val="o"/>
      <w:lvlJc w:val="left"/>
      <w:pPr>
        <w:ind w:left="3600" w:hanging="360"/>
      </w:pPr>
      <w:rPr>
        <w:rFonts w:ascii="Courier New" w:hAnsi="Courier New" w:hint="default"/>
      </w:rPr>
    </w:lvl>
    <w:lvl w:ilvl="5" w:tplc="EBBE58BC" w:tentative="1">
      <w:start w:val="1"/>
      <w:numFmt w:val="bullet"/>
      <w:lvlText w:val=""/>
      <w:lvlJc w:val="left"/>
      <w:pPr>
        <w:ind w:left="4320" w:hanging="360"/>
      </w:pPr>
      <w:rPr>
        <w:rFonts w:ascii="Wingdings" w:hAnsi="Wingdings" w:hint="default"/>
      </w:rPr>
    </w:lvl>
    <w:lvl w:ilvl="6" w:tplc="B7D8498C" w:tentative="1">
      <w:start w:val="1"/>
      <w:numFmt w:val="bullet"/>
      <w:lvlText w:val=""/>
      <w:lvlJc w:val="left"/>
      <w:pPr>
        <w:ind w:left="5040" w:hanging="360"/>
      </w:pPr>
      <w:rPr>
        <w:rFonts w:ascii="Symbol" w:hAnsi="Symbol" w:hint="default"/>
      </w:rPr>
    </w:lvl>
    <w:lvl w:ilvl="7" w:tplc="EA044138" w:tentative="1">
      <w:start w:val="1"/>
      <w:numFmt w:val="bullet"/>
      <w:lvlText w:val="o"/>
      <w:lvlJc w:val="left"/>
      <w:pPr>
        <w:ind w:left="5760" w:hanging="360"/>
      </w:pPr>
      <w:rPr>
        <w:rFonts w:ascii="Courier New" w:hAnsi="Courier New" w:hint="default"/>
      </w:rPr>
    </w:lvl>
    <w:lvl w:ilvl="8" w:tplc="6130C30C" w:tentative="1">
      <w:start w:val="1"/>
      <w:numFmt w:val="bullet"/>
      <w:lvlText w:val=""/>
      <w:lvlJc w:val="left"/>
      <w:pPr>
        <w:ind w:left="6480" w:hanging="360"/>
      </w:pPr>
      <w:rPr>
        <w:rFonts w:ascii="Wingdings" w:hAnsi="Wingdings" w:hint="default"/>
      </w:rPr>
    </w:lvl>
  </w:abstractNum>
  <w:abstractNum w:abstractNumId="2" w15:restartNumberingAfterBreak="0">
    <w:nsid w:val="21520F07"/>
    <w:multiLevelType w:val="hybridMultilevel"/>
    <w:tmpl w:val="6B60B2C4"/>
    <w:lvl w:ilvl="0" w:tplc="8BD03138">
      <w:start w:val="1"/>
      <w:numFmt w:val="bullet"/>
      <w:lvlText w:val=""/>
      <w:lvlJc w:val="left"/>
      <w:pPr>
        <w:ind w:left="360" w:hanging="360"/>
      </w:pPr>
      <w:rPr>
        <w:rFonts w:ascii="Symbol" w:hAnsi="Symbol" w:hint="default"/>
      </w:rPr>
    </w:lvl>
    <w:lvl w:ilvl="1" w:tplc="9BC679C0" w:tentative="1">
      <w:start w:val="1"/>
      <w:numFmt w:val="bullet"/>
      <w:lvlText w:val="o"/>
      <w:lvlJc w:val="left"/>
      <w:pPr>
        <w:ind w:left="1080" w:hanging="360"/>
      </w:pPr>
      <w:rPr>
        <w:rFonts w:ascii="Courier New" w:hAnsi="Courier New" w:hint="default"/>
      </w:rPr>
    </w:lvl>
    <w:lvl w:ilvl="2" w:tplc="47F29892" w:tentative="1">
      <w:start w:val="1"/>
      <w:numFmt w:val="bullet"/>
      <w:lvlText w:val=""/>
      <w:lvlJc w:val="left"/>
      <w:pPr>
        <w:ind w:left="1800" w:hanging="360"/>
      </w:pPr>
      <w:rPr>
        <w:rFonts w:ascii="Wingdings" w:hAnsi="Wingdings" w:hint="default"/>
      </w:rPr>
    </w:lvl>
    <w:lvl w:ilvl="3" w:tplc="98F8F2E0" w:tentative="1">
      <w:start w:val="1"/>
      <w:numFmt w:val="bullet"/>
      <w:lvlText w:val=""/>
      <w:lvlJc w:val="left"/>
      <w:pPr>
        <w:ind w:left="2520" w:hanging="360"/>
      </w:pPr>
      <w:rPr>
        <w:rFonts w:ascii="Symbol" w:hAnsi="Symbol" w:hint="default"/>
      </w:rPr>
    </w:lvl>
    <w:lvl w:ilvl="4" w:tplc="149CEE58" w:tentative="1">
      <w:start w:val="1"/>
      <w:numFmt w:val="bullet"/>
      <w:lvlText w:val="o"/>
      <w:lvlJc w:val="left"/>
      <w:pPr>
        <w:ind w:left="3240" w:hanging="360"/>
      </w:pPr>
      <w:rPr>
        <w:rFonts w:ascii="Courier New" w:hAnsi="Courier New" w:hint="default"/>
      </w:rPr>
    </w:lvl>
    <w:lvl w:ilvl="5" w:tplc="33CC9D8A" w:tentative="1">
      <w:start w:val="1"/>
      <w:numFmt w:val="bullet"/>
      <w:lvlText w:val=""/>
      <w:lvlJc w:val="left"/>
      <w:pPr>
        <w:ind w:left="3960" w:hanging="360"/>
      </w:pPr>
      <w:rPr>
        <w:rFonts w:ascii="Wingdings" w:hAnsi="Wingdings" w:hint="default"/>
      </w:rPr>
    </w:lvl>
    <w:lvl w:ilvl="6" w:tplc="4F0ABBDC" w:tentative="1">
      <w:start w:val="1"/>
      <w:numFmt w:val="bullet"/>
      <w:lvlText w:val=""/>
      <w:lvlJc w:val="left"/>
      <w:pPr>
        <w:ind w:left="4680" w:hanging="360"/>
      </w:pPr>
      <w:rPr>
        <w:rFonts w:ascii="Symbol" w:hAnsi="Symbol" w:hint="default"/>
      </w:rPr>
    </w:lvl>
    <w:lvl w:ilvl="7" w:tplc="73E6D9CA" w:tentative="1">
      <w:start w:val="1"/>
      <w:numFmt w:val="bullet"/>
      <w:lvlText w:val="o"/>
      <w:lvlJc w:val="left"/>
      <w:pPr>
        <w:ind w:left="5400" w:hanging="360"/>
      </w:pPr>
      <w:rPr>
        <w:rFonts w:ascii="Courier New" w:hAnsi="Courier New" w:hint="default"/>
      </w:rPr>
    </w:lvl>
    <w:lvl w:ilvl="8" w:tplc="A84E6B52" w:tentative="1">
      <w:start w:val="1"/>
      <w:numFmt w:val="bullet"/>
      <w:lvlText w:val=""/>
      <w:lvlJc w:val="left"/>
      <w:pPr>
        <w:ind w:left="6120" w:hanging="360"/>
      </w:pPr>
      <w:rPr>
        <w:rFonts w:ascii="Wingdings" w:hAnsi="Wingdings" w:hint="default"/>
      </w:rPr>
    </w:lvl>
  </w:abstractNum>
  <w:abstractNum w:abstractNumId="3" w15:restartNumberingAfterBreak="0">
    <w:nsid w:val="2BAA4373"/>
    <w:multiLevelType w:val="hybridMultilevel"/>
    <w:tmpl w:val="860605B2"/>
    <w:lvl w:ilvl="0" w:tplc="ED3CC8D0">
      <w:start w:val="1"/>
      <w:numFmt w:val="decimal"/>
      <w:lvlText w:val="%1."/>
      <w:lvlJc w:val="left"/>
      <w:pPr>
        <w:ind w:left="720" w:hanging="360"/>
      </w:pPr>
    </w:lvl>
    <w:lvl w:ilvl="1" w:tplc="492ED368" w:tentative="1">
      <w:start w:val="1"/>
      <w:numFmt w:val="lowerLetter"/>
      <w:lvlText w:val="%2."/>
      <w:lvlJc w:val="left"/>
      <w:pPr>
        <w:ind w:left="1440" w:hanging="360"/>
      </w:pPr>
    </w:lvl>
    <w:lvl w:ilvl="2" w:tplc="C80E384C" w:tentative="1">
      <w:start w:val="1"/>
      <w:numFmt w:val="lowerRoman"/>
      <w:lvlText w:val="%3."/>
      <w:lvlJc w:val="right"/>
      <w:pPr>
        <w:ind w:left="2160" w:hanging="180"/>
      </w:pPr>
    </w:lvl>
    <w:lvl w:ilvl="3" w:tplc="45E25704" w:tentative="1">
      <w:start w:val="1"/>
      <w:numFmt w:val="decimal"/>
      <w:lvlText w:val="%4."/>
      <w:lvlJc w:val="left"/>
      <w:pPr>
        <w:ind w:left="2880" w:hanging="360"/>
      </w:pPr>
    </w:lvl>
    <w:lvl w:ilvl="4" w:tplc="C0609B08" w:tentative="1">
      <w:start w:val="1"/>
      <w:numFmt w:val="lowerLetter"/>
      <w:lvlText w:val="%5."/>
      <w:lvlJc w:val="left"/>
      <w:pPr>
        <w:ind w:left="3600" w:hanging="360"/>
      </w:pPr>
    </w:lvl>
    <w:lvl w:ilvl="5" w:tplc="1D246AF0" w:tentative="1">
      <w:start w:val="1"/>
      <w:numFmt w:val="lowerRoman"/>
      <w:lvlText w:val="%6."/>
      <w:lvlJc w:val="right"/>
      <w:pPr>
        <w:ind w:left="4320" w:hanging="180"/>
      </w:pPr>
    </w:lvl>
    <w:lvl w:ilvl="6" w:tplc="FCE6920E" w:tentative="1">
      <w:start w:val="1"/>
      <w:numFmt w:val="decimal"/>
      <w:lvlText w:val="%7."/>
      <w:lvlJc w:val="left"/>
      <w:pPr>
        <w:ind w:left="5040" w:hanging="360"/>
      </w:pPr>
    </w:lvl>
    <w:lvl w:ilvl="7" w:tplc="BFBC157C" w:tentative="1">
      <w:start w:val="1"/>
      <w:numFmt w:val="lowerLetter"/>
      <w:lvlText w:val="%8."/>
      <w:lvlJc w:val="left"/>
      <w:pPr>
        <w:ind w:left="5760" w:hanging="360"/>
      </w:pPr>
    </w:lvl>
    <w:lvl w:ilvl="8" w:tplc="B0F06AF4" w:tentative="1">
      <w:start w:val="1"/>
      <w:numFmt w:val="lowerRoman"/>
      <w:lvlText w:val="%9."/>
      <w:lvlJc w:val="right"/>
      <w:pPr>
        <w:ind w:left="6480" w:hanging="180"/>
      </w:pPr>
    </w:lvl>
  </w:abstractNum>
  <w:abstractNum w:abstractNumId="4" w15:restartNumberingAfterBreak="0">
    <w:nsid w:val="2DC17CCF"/>
    <w:multiLevelType w:val="hybridMultilevel"/>
    <w:tmpl w:val="AE209E5E"/>
    <w:lvl w:ilvl="0" w:tplc="CB040214">
      <w:start w:val="1"/>
      <w:numFmt w:val="bullet"/>
      <w:lvlText w:val=""/>
      <w:lvlJc w:val="left"/>
      <w:pPr>
        <w:ind w:left="720" w:hanging="360"/>
      </w:pPr>
      <w:rPr>
        <w:rFonts w:ascii="Symbol" w:hAnsi="Symbol" w:hint="default"/>
      </w:rPr>
    </w:lvl>
    <w:lvl w:ilvl="1" w:tplc="3C9A2F92" w:tentative="1">
      <w:start w:val="1"/>
      <w:numFmt w:val="bullet"/>
      <w:lvlText w:val="o"/>
      <w:lvlJc w:val="left"/>
      <w:pPr>
        <w:ind w:left="1440" w:hanging="360"/>
      </w:pPr>
      <w:rPr>
        <w:rFonts w:ascii="Courier New" w:hAnsi="Courier New" w:hint="default"/>
      </w:rPr>
    </w:lvl>
    <w:lvl w:ilvl="2" w:tplc="3B52375A" w:tentative="1">
      <w:start w:val="1"/>
      <w:numFmt w:val="bullet"/>
      <w:lvlText w:val=""/>
      <w:lvlJc w:val="left"/>
      <w:pPr>
        <w:ind w:left="2160" w:hanging="360"/>
      </w:pPr>
      <w:rPr>
        <w:rFonts w:ascii="Wingdings" w:hAnsi="Wingdings" w:hint="default"/>
      </w:rPr>
    </w:lvl>
    <w:lvl w:ilvl="3" w:tplc="F72C090E" w:tentative="1">
      <w:start w:val="1"/>
      <w:numFmt w:val="bullet"/>
      <w:lvlText w:val=""/>
      <w:lvlJc w:val="left"/>
      <w:pPr>
        <w:ind w:left="2880" w:hanging="360"/>
      </w:pPr>
      <w:rPr>
        <w:rFonts w:ascii="Symbol" w:hAnsi="Symbol" w:hint="default"/>
      </w:rPr>
    </w:lvl>
    <w:lvl w:ilvl="4" w:tplc="D7345E58" w:tentative="1">
      <w:start w:val="1"/>
      <w:numFmt w:val="bullet"/>
      <w:lvlText w:val="o"/>
      <w:lvlJc w:val="left"/>
      <w:pPr>
        <w:ind w:left="3600" w:hanging="360"/>
      </w:pPr>
      <w:rPr>
        <w:rFonts w:ascii="Courier New" w:hAnsi="Courier New" w:hint="default"/>
      </w:rPr>
    </w:lvl>
    <w:lvl w:ilvl="5" w:tplc="C8168AB6" w:tentative="1">
      <w:start w:val="1"/>
      <w:numFmt w:val="bullet"/>
      <w:lvlText w:val=""/>
      <w:lvlJc w:val="left"/>
      <w:pPr>
        <w:ind w:left="4320" w:hanging="360"/>
      </w:pPr>
      <w:rPr>
        <w:rFonts w:ascii="Wingdings" w:hAnsi="Wingdings" w:hint="default"/>
      </w:rPr>
    </w:lvl>
    <w:lvl w:ilvl="6" w:tplc="0546AD9C" w:tentative="1">
      <w:start w:val="1"/>
      <w:numFmt w:val="bullet"/>
      <w:lvlText w:val=""/>
      <w:lvlJc w:val="left"/>
      <w:pPr>
        <w:ind w:left="5040" w:hanging="360"/>
      </w:pPr>
      <w:rPr>
        <w:rFonts w:ascii="Symbol" w:hAnsi="Symbol" w:hint="default"/>
      </w:rPr>
    </w:lvl>
    <w:lvl w:ilvl="7" w:tplc="AFCA6F7A" w:tentative="1">
      <w:start w:val="1"/>
      <w:numFmt w:val="bullet"/>
      <w:lvlText w:val="o"/>
      <w:lvlJc w:val="left"/>
      <w:pPr>
        <w:ind w:left="5760" w:hanging="360"/>
      </w:pPr>
      <w:rPr>
        <w:rFonts w:ascii="Courier New" w:hAnsi="Courier New" w:hint="default"/>
      </w:rPr>
    </w:lvl>
    <w:lvl w:ilvl="8" w:tplc="2EA4CEFE" w:tentative="1">
      <w:start w:val="1"/>
      <w:numFmt w:val="bullet"/>
      <w:lvlText w:val=""/>
      <w:lvlJc w:val="left"/>
      <w:pPr>
        <w:ind w:left="6480" w:hanging="360"/>
      </w:pPr>
      <w:rPr>
        <w:rFonts w:ascii="Wingdings" w:hAnsi="Wingdings" w:hint="default"/>
      </w:rPr>
    </w:lvl>
  </w:abstractNum>
  <w:abstractNum w:abstractNumId="5" w15:restartNumberingAfterBreak="0">
    <w:nsid w:val="30F90C3E"/>
    <w:multiLevelType w:val="hybridMultilevel"/>
    <w:tmpl w:val="8C587CA2"/>
    <w:lvl w:ilvl="0" w:tplc="E098E70A">
      <w:start w:val="1"/>
      <w:numFmt w:val="bullet"/>
      <w:lvlText w:val=""/>
      <w:lvlJc w:val="left"/>
      <w:pPr>
        <w:ind w:left="720" w:hanging="360"/>
      </w:pPr>
      <w:rPr>
        <w:rFonts w:ascii="Symbol" w:hAnsi="Symbol" w:hint="default"/>
      </w:rPr>
    </w:lvl>
    <w:lvl w:ilvl="1" w:tplc="EBC480AC" w:tentative="1">
      <w:start w:val="1"/>
      <w:numFmt w:val="bullet"/>
      <w:lvlText w:val="o"/>
      <w:lvlJc w:val="left"/>
      <w:pPr>
        <w:ind w:left="1440" w:hanging="360"/>
      </w:pPr>
      <w:rPr>
        <w:rFonts w:ascii="Courier New" w:hAnsi="Courier New" w:hint="default"/>
      </w:rPr>
    </w:lvl>
    <w:lvl w:ilvl="2" w:tplc="DC344D36" w:tentative="1">
      <w:start w:val="1"/>
      <w:numFmt w:val="bullet"/>
      <w:lvlText w:val=""/>
      <w:lvlJc w:val="left"/>
      <w:pPr>
        <w:ind w:left="2160" w:hanging="360"/>
      </w:pPr>
      <w:rPr>
        <w:rFonts w:ascii="Wingdings" w:hAnsi="Wingdings" w:hint="default"/>
      </w:rPr>
    </w:lvl>
    <w:lvl w:ilvl="3" w:tplc="A5F89CE4" w:tentative="1">
      <w:start w:val="1"/>
      <w:numFmt w:val="bullet"/>
      <w:lvlText w:val=""/>
      <w:lvlJc w:val="left"/>
      <w:pPr>
        <w:ind w:left="2880" w:hanging="360"/>
      </w:pPr>
      <w:rPr>
        <w:rFonts w:ascii="Symbol" w:hAnsi="Symbol" w:hint="default"/>
      </w:rPr>
    </w:lvl>
    <w:lvl w:ilvl="4" w:tplc="85C2013A" w:tentative="1">
      <w:start w:val="1"/>
      <w:numFmt w:val="bullet"/>
      <w:lvlText w:val="o"/>
      <w:lvlJc w:val="left"/>
      <w:pPr>
        <w:ind w:left="3600" w:hanging="360"/>
      </w:pPr>
      <w:rPr>
        <w:rFonts w:ascii="Courier New" w:hAnsi="Courier New" w:hint="default"/>
      </w:rPr>
    </w:lvl>
    <w:lvl w:ilvl="5" w:tplc="8098BE6E" w:tentative="1">
      <w:start w:val="1"/>
      <w:numFmt w:val="bullet"/>
      <w:lvlText w:val=""/>
      <w:lvlJc w:val="left"/>
      <w:pPr>
        <w:ind w:left="4320" w:hanging="360"/>
      </w:pPr>
      <w:rPr>
        <w:rFonts w:ascii="Wingdings" w:hAnsi="Wingdings" w:hint="default"/>
      </w:rPr>
    </w:lvl>
    <w:lvl w:ilvl="6" w:tplc="F5742F58" w:tentative="1">
      <w:start w:val="1"/>
      <w:numFmt w:val="bullet"/>
      <w:lvlText w:val=""/>
      <w:lvlJc w:val="left"/>
      <w:pPr>
        <w:ind w:left="5040" w:hanging="360"/>
      </w:pPr>
      <w:rPr>
        <w:rFonts w:ascii="Symbol" w:hAnsi="Symbol" w:hint="default"/>
      </w:rPr>
    </w:lvl>
    <w:lvl w:ilvl="7" w:tplc="9EA839DE" w:tentative="1">
      <w:start w:val="1"/>
      <w:numFmt w:val="bullet"/>
      <w:lvlText w:val="o"/>
      <w:lvlJc w:val="left"/>
      <w:pPr>
        <w:ind w:left="5760" w:hanging="360"/>
      </w:pPr>
      <w:rPr>
        <w:rFonts w:ascii="Courier New" w:hAnsi="Courier New" w:hint="default"/>
      </w:rPr>
    </w:lvl>
    <w:lvl w:ilvl="8" w:tplc="8152ACB4" w:tentative="1">
      <w:start w:val="1"/>
      <w:numFmt w:val="bullet"/>
      <w:lvlText w:val=""/>
      <w:lvlJc w:val="left"/>
      <w:pPr>
        <w:ind w:left="6480" w:hanging="360"/>
      </w:pPr>
      <w:rPr>
        <w:rFonts w:ascii="Wingdings" w:hAnsi="Wingdings" w:hint="default"/>
      </w:rPr>
    </w:lvl>
  </w:abstractNum>
  <w:abstractNum w:abstractNumId="6" w15:restartNumberingAfterBreak="0">
    <w:nsid w:val="3DBA4B01"/>
    <w:multiLevelType w:val="hybridMultilevel"/>
    <w:tmpl w:val="6E6451BC"/>
    <w:lvl w:ilvl="0" w:tplc="08090001">
      <w:start w:val="1"/>
      <w:numFmt w:val="bullet"/>
      <w:lvlText w:val=""/>
      <w:lvlJc w:val="left"/>
      <w:pPr>
        <w:ind w:left="2061" w:hanging="360"/>
      </w:pPr>
      <w:rPr>
        <w:rFonts w:ascii="Symbol" w:hAnsi="Symbol" w:hint="default"/>
      </w:rPr>
    </w:lvl>
    <w:lvl w:ilvl="1" w:tplc="08090003" w:tentative="1">
      <w:start w:val="1"/>
      <w:numFmt w:val="bullet"/>
      <w:lvlText w:val="o"/>
      <w:lvlJc w:val="left"/>
      <w:pPr>
        <w:ind w:left="2781" w:hanging="360"/>
      </w:pPr>
      <w:rPr>
        <w:rFonts w:ascii="Courier New" w:hAnsi="Courier New" w:cs="Courier New" w:hint="default"/>
      </w:rPr>
    </w:lvl>
    <w:lvl w:ilvl="2" w:tplc="08090005" w:tentative="1">
      <w:start w:val="1"/>
      <w:numFmt w:val="bullet"/>
      <w:lvlText w:val=""/>
      <w:lvlJc w:val="left"/>
      <w:pPr>
        <w:ind w:left="3501" w:hanging="360"/>
      </w:pPr>
      <w:rPr>
        <w:rFonts w:ascii="Wingdings" w:hAnsi="Wingdings" w:hint="default"/>
      </w:rPr>
    </w:lvl>
    <w:lvl w:ilvl="3" w:tplc="08090001" w:tentative="1">
      <w:start w:val="1"/>
      <w:numFmt w:val="bullet"/>
      <w:lvlText w:val=""/>
      <w:lvlJc w:val="left"/>
      <w:pPr>
        <w:ind w:left="4221" w:hanging="360"/>
      </w:pPr>
      <w:rPr>
        <w:rFonts w:ascii="Symbol" w:hAnsi="Symbol" w:hint="default"/>
      </w:rPr>
    </w:lvl>
    <w:lvl w:ilvl="4" w:tplc="08090003" w:tentative="1">
      <w:start w:val="1"/>
      <w:numFmt w:val="bullet"/>
      <w:lvlText w:val="o"/>
      <w:lvlJc w:val="left"/>
      <w:pPr>
        <w:ind w:left="4941" w:hanging="360"/>
      </w:pPr>
      <w:rPr>
        <w:rFonts w:ascii="Courier New" w:hAnsi="Courier New" w:cs="Courier New" w:hint="default"/>
      </w:rPr>
    </w:lvl>
    <w:lvl w:ilvl="5" w:tplc="08090005" w:tentative="1">
      <w:start w:val="1"/>
      <w:numFmt w:val="bullet"/>
      <w:lvlText w:val=""/>
      <w:lvlJc w:val="left"/>
      <w:pPr>
        <w:ind w:left="5661" w:hanging="360"/>
      </w:pPr>
      <w:rPr>
        <w:rFonts w:ascii="Wingdings" w:hAnsi="Wingdings" w:hint="default"/>
      </w:rPr>
    </w:lvl>
    <w:lvl w:ilvl="6" w:tplc="08090001" w:tentative="1">
      <w:start w:val="1"/>
      <w:numFmt w:val="bullet"/>
      <w:lvlText w:val=""/>
      <w:lvlJc w:val="left"/>
      <w:pPr>
        <w:ind w:left="6381" w:hanging="360"/>
      </w:pPr>
      <w:rPr>
        <w:rFonts w:ascii="Symbol" w:hAnsi="Symbol" w:hint="default"/>
      </w:rPr>
    </w:lvl>
    <w:lvl w:ilvl="7" w:tplc="08090003" w:tentative="1">
      <w:start w:val="1"/>
      <w:numFmt w:val="bullet"/>
      <w:lvlText w:val="o"/>
      <w:lvlJc w:val="left"/>
      <w:pPr>
        <w:ind w:left="7101" w:hanging="360"/>
      </w:pPr>
      <w:rPr>
        <w:rFonts w:ascii="Courier New" w:hAnsi="Courier New" w:cs="Courier New" w:hint="default"/>
      </w:rPr>
    </w:lvl>
    <w:lvl w:ilvl="8" w:tplc="08090005" w:tentative="1">
      <w:start w:val="1"/>
      <w:numFmt w:val="bullet"/>
      <w:lvlText w:val=""/>
      <w:lvlJc w:val="left"/>
      <w:pPr>
        <w:ind w:left="7821" w:hanging="360"/>
      </w:pPr>
      <w:rPr>
        <w:rFonts w:ascii="Wingdings" w:hAnsi="Wingdings" w:hint="default"/>
      </w:rPr>
    </w:lvl>
  </w:abstractNum>
  <w:abstractNum w:abstractNumId="7" w15:restartNumberingAfterBreak="0">
    <w:nsid w:val="47C47666"/>
    <w:multiLevelType w:val="hybridMultilevel"/>
    <w:tmpl w:val="141E0B6C"/>
    <w:lvl w:ilvl="0" w:tplc="DABE4B88">
      <w:start w:val="1"/>
      <w:numFmt w:val="decimal"/>
      <w:pStyle w:val="Heading3"/>
      <w:lvlText w:val="%1."/>
      <w:lvlJc w:val="left"/>
      <w:pPr>
        <w:ind w:left="720" w:hanging="360"/>
      </w:pPr>
    </w:lvl>
    <w:lvl w:ilvl="1" w:tplc="0B8092C4" w:tentative="1">
      <w:start w:val="1"/>
      <w:numFmt w:val="lowerLetter"/>
      <w:lvlText w:val="%2."/>
      <w:lvlJc w:val="left"/>
      <w:pPr>
        <w:ind w:left="1440" w:hanging="360"/>
      </w:pPr>
    </w:lvl>
    <w:lvl w:ilvl="2" w:tplc="E278C9C0" w:tentative="1">
      <w:start w:val="1"/>
      <w:numFmt w:val="lowerRoman"/>
      <w:lvlText w:val="%3."/>
      <w:lvlJc w:val="right"/>
      <w:pPr>
        <w:ind w:left="2160" w:hanging="180"/>
      </w:pPr>
    </w:lvl>
    <w:lvl w:ilvl="3" w:tplc="458A55CE" w:tentative="1">
      <w:start w:val="1"/>
      <w:numFmt w:val="decimal"/>
      <w:lvlText w:val="%4."/>
      <w:lvlJc w:val="left"/>
      <w:pPr>
        <w:ind w:left="2880" w:hanging="360"/>
      </w:pPr>
    </w:lvl>
    <w:lvl w:ilvl="4" w:tplc="1B804F94" w:tentative="1">
      <w:start w:val="1"/>
      <w:numFmt w:val="lowerLetter"/>
      <w:lvlText w:val="%5."/>
      <w:lvlJc w:val="left"/>
      <w:pPr>
        <w:ind w:left="3600" w:hanging="360"/>
      </w:pPr>
    </w:lvl>
    <w:lvl w:ilvl="5" w:tplc="6EEE33F8" w:tentative="1">
      <w:start w:val="1"/>
      <w:numFmt w:val="lowerRoman"/>
      <w:lvlText w:val="%6."/>
      <w:lvlJc w:val="right"/>
      <w:pPr>
        <w:ind w:left="4320" w:hanging="180"/>
      </w:pPr>
    </w:lvl>
    <w:lvl w:ilvl="6" w:tplc="14A44492" w:tentative="1">
      <w:start w:val="1"/>
      <w:numFmt w:val="decimal"/>
      <w:lvlText w:val="%7."/>
      <w:lvlJc w:val="left"/>
      <w:pPr>
        <w:ind w:left="5040" w:hanging="360"/>
      </w:pPr>
    </w:lvl>
    <w:lvl w:ilvl="7" w:tplc="F2822248" w:tentative="1">
      <w:start w:val="1"/>
      <w:numFmt w:val="lowerLetter"/>
      <w:lvlText w:val="%8."/>
      <w:lvlJc w:val="left"/>
      <w:pPr>
        <w:ind w:left="5760" w:hanging="360"/>
      </w:pPr>
    </w:lvl>
    <w:lvl w:ilvl="8" w:tplc="703E75BA" w:tentative="1">
      <w:start w:val="1"/>
      <w:numFmt w:val="lowerRoman"/>
      <w:lvlText w:val="%9."/>
      <w:lvlJc w:val="right"/>
      <w:pPr>
        <w:ind w:left="6480" w:hanging="180"/>
      </w:pPr>
    </w:lvl>
  </w:abstractNum>
  <w:abstractNum w:abstractNumId="8" w15:restartNumberingAfterBreak="0">
    <w:nsid w:val="4DBB52F1"/>
    <w:multiLevelType w:val="hybridMultilevel"/>
    <w:tmpl w:val="36723876"/>
    <w:lvl w:ilvl="0" w:tplc="F0885BE4">
      <w:start w:val="1"/>
      <w:numFmt w:val="decimal"/>
      <w:lvlText w:val="%1."/>
      <w:lvlJc w:val="left"/>
      <w:pPr>
        <w:ind w:left="720" w:hanging="360"/>
      </w:pPr>
    </w:lvl>
    <w:lvl w:ilvl="1" w:tplc="B34048EE" w:tentative="1">
      <w:start w:val="1"/>
      <w:numFmt w:val="bullet"/>
      <w:lvlText w:val="o"/>
      <w:lvlJc w:val="left"/>
      <w:pPr>
        <w:ind w:left="1440" w:hanging="360"/>
      </w:pPr>
      <w:rPr>
        <w:rFonts w:ascii="Courier New" w:hAnsi="Courier New" w:hint="default"/>
      </w:rPr>
    </w:lvl>
    <w:lvl w:ilvl="2" w:tplc="48E634AA" w:tentative="1">
      <w:start w:val="1"/>
      <w:numFmt w:val="bullet"/>
      <w:lvlText w:val=""/>
      <w:lvlJc w:val="left"/>
      <w:pPr>
        <w:ind w:left="2160" w:hanging="360"/>
      </w:pPr>
      <w:rPr>
        <w:rFonts w:ascii="Wingdings" w:hAnsi="Wingdings" w:hint="default"/>
      </w:rPr>
    </w:lvl>
    <w:lvl w:ilvl="3" w:tplc="B2DC34F4" w:tentative="1">
      <w:start w:val="1"/>
      <w:numFmt w:val="bullet"/>
      <w:lvlText w:val=""/>
      <w:lvlJc w:val="left"/>
      <w:pPr>
        <w:ind w:left="2880" w:hanging="360"/>
      </w:pPr>
      <w:rPr>
        <w:rFonts w:ascii="Symbol" w:hAnsi="Symbol" w:hint="default"/>
      </w:rPr>
    </w:lvl>
    <w:lvl w:ilvl="4" w:tplc="F9361012" w:tentative="1">
      <w:start w:val="1"/>
      <w:numFmt w:val="bullet"/>
      <w:lvlText w:val="o"/>
      <w:lvlJc w:val="left"/>
      <w:pPr>
        <w:ind w:left="3600" w:hanging="360"/>
      </w:pPr>
      <w:rPr>
        <w:rFonts w:ascii="Courier New" w:hAnsi="Courier New" w:hint="default"/>
      </w:rPr>
    </w:lvl>
    <w:lvl w:ilvl="5" w:tplc="0380A006" w:tentative="1">
      <w:start w:val="1"/>
      <w:numFmt w:val="bullet"/>
      <w:lvlText w:val=""/>
      <w:lvlJc w:val="left"/>
      <w:pPr>
        <w:ind w:left="4320" w:hanging="360"/>
      </w:pPr>
      <w:rPr>
        <w:rFonts w:ascii="Wingdings" w:hAnsi="Wingdings" w:hint="default"/>
      </w:rPr>
    </w:lvl>
    <w:lvl w:ilvl="6" w:tplc="7A242730" w:tentative="1">
      <w:start w:val="1"/>
      <w:numFmt w:val="bullet"/>
      <w:lvlText w:val=""/>
      <w:lvlJc w:val="left"/>
      <w:pPr>
        <w:ind w:left="5040" w:hanging="360"/>
      </w:pPr>
      <w:rPr>
        <w:rFonts w:ascii="Symbol" w:hAnsi="Symbol" w:hint="default"/>
      </w:rPr>
    </w:lvl>
    <w:lvl w:ilvl="7" w:tplc="A32C62F0" w:tentative="1">
      <w:start w:val="1"/>
      <w:numFmt w:val="bullet"/>
      <w:lvlText w:val="o"/>
      <w:lvlJc w:val="left"/>
      <w:pPr>
        <w:ind w:left="5760" w:hanging="360"/>
      </w:pPr>
      <w:rPr>
        <w:rFonts w:ascii="Courier New" w:hAnsi="Courier New" w:hint="default"/>
      </w:rPr>
    </w:lvl>
    <w:lvl w:ilvl="8" w:tplc="12AA761E" w:tentative="1">
      <w:start w:val="1"/>
      <w:numFmt w:val="bullet"/>
      <w:lvlText w:val=""/>
      <w:lvlJc w:val="left"/>
      <w:pPr>
        <w:ind w:left="6480" w:hanging="360"/>
      </w:pPr>
      <w:rPr>
        <w:rFonts w:ascii="Wingdings" w:hAnsi="Wingdings" w:hint="default"/>
      </w:rPr>
    </w:lvl>
  </w:abstractNum>
  <w:abstractNum w:abstractNumId="9" w15:restartNumberingAfterBreak="0">
    <w:nsid w:val="50B02483"/>
    <w:multiLevelType w:val="hybridMultilevel"/>
    <w:tmpl w:val="B9021B9C"/>
    <w:lvl w:ilvl="0" w:tplc="0809000F">
      <w:start w:val="1"/>
      <w:numFmt w:val="decimal"/>
      <w:lvlText w:val="%1."/>
      <w:lvlJc w:val="left"/>
      <w:pPr>
        <w:ind w:left="2061" w:hanging="360"/>
      </w:pPr>
    </w:lvl>
    <w:lvl w:ilvl="1" w:tplc="08090019" w:tentative="1">
      <w:start w:val="1"/>
      <w:numFmt w:val="lowerLetter"/>
      <w:lvlText w:val="%2."/>
      <w:lvlJc w:val="left"/>
      <w:pPr>
        <w:ind w:left="2781" w:hanging="360"/>
      </w:pPr>
    </w:lvl>
    <w:lvl w:ilvl="2" w:tplc="0809001B" w:tentative="1">
      <w:start w:val="1"/>
      <w:numFmt w:val="lowerRoman"/>
      <w:lvlText w:val="%3."/>
      <w:lvlJc w:val="right"/>
      <w:pPr>
        <w:ind w:left="3501" w:hanging="180"/>
      </w:pPr>
    </w:lvl>
    <w:lvl w:ilvl="3" w:tplc="0809000F" w:tentative="1">
      <w:start w:val="1"/>
      <w:numFmt w:val="decimal"/>
      <w:lvlText w:val="%4."/>
      <w:lvlJc w:val="left"/>
      <w:pPr>
        <w:ind w:left="4221" w:hanging="360"/>
      </w:pPr>
    </w:lvl>
    <w:lvl w:ilvl="4" w:tplc="08090019" w:tentative="1">
      <w:start w:val="1"/>
      <w:numFmt w:val="lowerLetter"/>
      <w:lvlText w:val="%5."/>
      <w:lvlJc w:val="left"/>
      <w:pPr>
        <w:ind w:left="4941" w:hanging="360"/>
      </w:pPr>
    </w:lvl>
    <w:lvl w:ilvl="5" w:tplc="0809001B" w:tentative="1">
      <w:start w:val="1"/>
      <w:numFmt w:val="lowerRoman"/>
      <w:lvlText w:val="%6."/>
      <w:lvlJc w:val="right"/>
      <w:pPr>
        <w:ind w:left="5661" w:hanging="180"/>
      </w:pPr>
    </w:lvl>
    <w:lvl w:ilvl="6" w:tplc="0809000F" w:tentative="1">
      <w:start w:val="1"/>
      <w:numFmt w:val="decimal"/>
      <w:lvlText w:val="%7."/>
      <w:lvlJc w:val="left"/>
      <w:pPr>
        <w:ind w:left="6381" w:hanging="360"/>
      </w:pPr>
    </w:lvl>
    <w:lvl w:ilvl="7" w:tplc="08090019" w:tentative="1">
      <w:start w:val="1"/>
      <w:numFmt w:val="lowerLetter"/>
      <w:lvlText w:val="%8."/>
      <w:lvlJc w:val="left"/>
      <w:pPr>
        <w:ind w:left="7101" w:hanging="360"/>
      </w:pPr>
    </w:lvl>
    <w:lvl w:ilvl="8" w:tplc="0809001B" w:tentative="1">
      <w:start w:val="1"/>
      <w:numFmt w:val="lowerRoman"/>
      <w:lvlText w:val="%9."/>
      <w:lvlJc w:val="right"/>
      <w:pPr>
        <w:ind w:left="7821" w:hanging="180"/>
      </w:pPr>
    </w:lvl>
  </w:abstractNum>
  <w:abstractNum w:abstractNumId="10" w15:restartNumberingAfterBreak="0">
    <w:nsid w:val="765F6243"/>
    <w:multiLevelType w:val="hybridMultilevel"/>
    <w:tmpl w:val="756870A4"/>
    <w:lvl w:ilvl="0" w:tplc="0DEC9D32">
      <w:numFmt w:val="bullet"/>
      <w:lvlText w:val="•"/>
      <w:lvlJc w:val="left"/>
      <w:pPr>
        <w:ind w:left="1080" w:hanging="720"/>
      </w:pPr>
      <w:rPr>
        <w:rFonts w:ascii="Aptos" w:hAnsi="Aptos" w:hint="default"/>
      </w:rPr>
    </w:lvl>
    <w:lvl w:ilvl="1" w:tplc="26C00F0E" w:tentative="1">
      <w:start w:val="1"/>
      <w:numFmt w:val="bullet"/>
      <w:lvlText w:val="o"/>
      <w:lvlJc w:val="left"/>
      <w:pPr>
        <w:ind w:left="1440" w:hanging="360"/>
      </w:pPr>
      <w:rPr>
        <w:rFonts w:ascii="Courier New" w:hAnsi="Courier New" w:hint="default"/>
      </w:rPr>
    </w:lvl>
    <w:lvl w:ilvl="2" w:tplc="EBC818A8" w:tentative="1">
      <w:start w:val="1"/>
      <w:numFmt w:val="bullet"/>
      <w:lvlText w:val=""/>
      <w:lvlJc w:val="left"/>
      <w:pPr>
        <w:ind w:left="2160" w:hanging="360"/>
      </w:pPr>
      <w:rPr>
        <w:rFonts w:ascii="Wingdings" w:hAnsi="Wingdings" w:hint="default"/>
      </w:rPr>
    </w:lvl>
    <w:lvl w:ilvl="3" w:tplc="6142BBF2" w:tentative="1">
      <w:start w:val="1"/>
      <w:numFmt w:val="bullet"/>
      <w:lvlText w:val=""/>
      <w:lvlJc w:val="left"/>
      <w:pPr>
        <w:ind w:left="2880" w:hanging="360"/>
      </w:pPr>
      <w:rPr>
        <w:rFonts w:ascii="Symbol" w:hAnsi="Symbol" w:hint="default"/>
      </w:rPr>
    </w:lvl>
    <w:lvl w:ilvl="4" w:tplc="BA502B76" w:tentative="1">
      <w:start w:val="1"/>
      <w:numFmt w:val="bullet"/>
      <w:lvlText w:val="o"/>
      <w:lvlJc w:val="left"/>
      <w:pPr>
        <w:ind w:left="3600" w:hanging="360"/>
      </w:pPr>
      <w:rPr>
        <w:rFonts w:ascii="Courier New" w:hAnsi="Courier New" w:hint="default"/>
      </w:rPr>
    </w:lvl>
    <w:lvl w:ilvl="5" w:tplc="B254C444" w:tentative="1">
      <w:start w:val="1"/>
      <w:numFmt w:val="bullet"/>
      <w:lvlText w:val=""/>
      <w:lvlJc w:val="left"/>
      <w:pPr>
        <w:ind w:left="4320" w:hanging="360"/>
      </w:pPr>
      <w:rPr>
        <w:rFonts w:ascii="Wingdings" w:hAnsi="Wingdings" w:hint="default"/>
      </w:rPr>
    </w:lvl>
    <w:lvl w:ilvl="6" w:tplc="1278EBE8" w:tentative="1">
      <w:start w:val="1"/>
      <w:numFmt w:val="bullet"/>
      <w:lvlText w:val=""/>
      <w:lvlJc w:val="left"/>
      <w:pPr>
        <w:ind w:left="5040" w:hanging="360"/>
      </w:pPr>
      <w:rPr>
        <w:rFonts w:ascii="Symbol" w:hAnsi="Symbol" w:hint="default"/>
      </w:rPr>
    </w:lvl>
    <w:lvl w:ilvl="7" w:tplc="A2E0EBB0" w:tentative="1">
      <w:start w:val="1"/>
      <w:numFmt w:val="bullet"/>
      <w:lvlText w:val="o"/>
      <w:lvlJc w:val="left"/>
      <w:pPr>
        <w:ind w:left="5760" w:hanging="360"/>
      </w:pPr>
      <w:rPr>
        <w:rFonts w:ascii="Courier New" w:hAnsi="Courier New" w:hint="default"/>
      </w:rPr>
    </w:lvl>
    <w:lvl w:ilvl="8" w:tplc="7BBA1952" w:tentative="1">
      <w:start w:val="1"/>
      <w:numFmt w:val="bullet"/>
      <w:lvlText w:val=""/>
      <w:lvlJc w:val="left"/>
      <w:pPr>
        <w:ind w:left="6480" w:hanging="360"/>
      </w:pPr>
      <w:rPr>
        <w:rFonts w:ascii="Wingdings" w:hAnsi="Wingdings" w:hint="default"/>
      </w:rPr>
    </w:lvl>
  </w:abstractNum>
  <w:abstractNum w:abstractNumId="11" w15:restartNumberingAfterBreak="0">
    <w:nsid w:val="79AE6A5D"/>
    <w:multiLevelType w:val="hybridMultilevel"/>
    <w:tmpl w:val="9ECA4EEC"/>
    <w:lvl w:ilvl="0" w:tplc="1412406E">
      <w:start w:val="1"/>
      <w:numFmt w:val="decimal"/>
      <w:lvlText w:val="%1)"/>
      <w:lvlJc w:val="left"/>
      <w:pPr>
        <w:ind w:left="1080" w:hanging="360"/>
      </w:pPr>
    </w:lvl>
    <w:lvl w:ilvl="1" w:tplc="2DBA9128">
      <w:start w:val="1"/>
      <w:numFmt w:val="decimal"/>
      <w:lvlText w:val="%2)"/>
      <w:lvlJc w:val="left"/>
      <w:pPr>
        <w:ind w:left="1080" w:hanging="360"/>
      </w:pPr>
    </w:lvl>
    <w:lvl w:ilvl="2" w:tplc="14544E4C">
      <w:start w:val="1"/>
      <w:numFmt w:val="decimal"/>
      <w:lvlText w:val="%3)"/>
      <w:lvlJc w:val="left"/>
      <w:pPr>
        <w:ind w:left="1080" w:hanging="360"/>
      </w:pPr>
    </w:lvl>
    <w:lvl w:ilvl="3" w:tplc="4EF8D1F4">
      <w:start w:val="1"/>
      <w:numFmt w:val="decimal"/>
      <w:lvlText w:val="%4)"/>
      <w:lvlJc w:val="left"/>
      <w:pPr>
        <w:ind w:left="1080" w:hanging="360"/>
      </w:pPr>
    </w:lvl>
    <w:lvl w:ilvl="4" w:tplc="346EC682">
      <w:start w:val="1"/>
      <w:numFmt w:val="decimal"/>
      <w:lvlText w:val="%5)"/>
      <w:lvlJc w:val="left"/>
      <w:pPr>
        <w:ind w:left="1080" w:hanging="360"/>
      </w:pPr>
    </w:lvl>
    <w:lvl w:ilvl="5" w:tplc="0CE4D9CA">
      <w:start w:val="1"/>
      <w:numFmt w:val="decimal"/>
      <w:lvlText w:val="%6)"/>
      <w:lvlJc w:val="left"/>
      <w:pPr>
        <w:ind w:left="1080" w:hanging="360"/>
      </w:pPr>
    </w:lvl>
    <w:lvl w:ilvl="6" w:tplc="921833BE">
      <w:start w:val="1"/>
      <w:numFmt w:val="decimal"/>
      <w:lvlText w:val="%7)"/>
      <w:lvlJc w:val="left"/>
      <w:pPr>
        <w:ind w:left="1080" w:hanging="360"/>
      </w:pPr>
    </w:lvl>
    <w:lvl w:ilvl="7" w:tplc="68B09EA0">
      <w:start w:val="1"/>
      <w:numFmt w:val="decimal"/>
      <w:lvlText w:val="%8)"/>
      <w:lvlJc w:val="left"/>
      <w:pPr>
        <w:ind w:left="1080" w:hanging="360"/>
      </w:pPr>
    </w:lvl>
    <w:lvl w:ilvl="8" w:tplc="C792AAFA">
      <w:start w:val="1"/>
      <w:numFmt w:val="decimal"/>
      <w:lvlText w:val="%9)"/>
      <w:lvlJc w:val="left"/>
      <w:pPr>
        <w:ind w:left="1080" w:hanging="360"/>
      </w:pPr>
    </w:lvl>
  </w:abstractNum>
  <w:abstractNum w:abstractNumId="12" w15:restartNumberingAfterBreak="0">
    <w:nsid w:val="7C7615AC"/>
    <w:multiLevelType w:val="hybridMultilevel"/>
    <w:tmpl w:val="586E0B5E"/>
    <w:lvl w:ilvl="0" w:tplc="65C00A46">
      <w:start w:val="1"/>
      <w:numFmt w:val="bullet"/>
      <w:lvlText w:val=""/>
      <w:lvlJc w:val="left"/>
      <w:pPr>
        <w:ind w:left="720" w:hanging="360"/>
      </w:pPr>
      <w:rPr>
        <w:rFonts w:ascii="Symbol" w:hAnsi="Symbol" w:hint="default"/>
      </w:rPr>
    </w:lvl>
    <w:lvl w:ilvl="1" w:tplc="598A6E9A" w:tentative="1">
      <w:start w:val="1"/>
      <w:numFmt w:val="bullet"/>
      <w:lvlText w:val="o"/>
      <w:lvlJc w:val="left"/>
      <w:pPr>
        <w:ind w:left="1440" w:hanging="360"/>
      </w:pPr>
      <w:rPr>
        <w:rFonts w:ascii="Courier New" w:hAnsi="Courier New" w:hint="default"/>
      </w:rPr>
    </w:lvl>
    <w:lvl w:ilvl="2" w:tplc="77CA267A" w:tentative="1">
      <w:start w:val="1"/>
      <w:numFmt w:val="bullet"/>
      <w:lvlText w:val=""/>
      <w:lvlJc w:val="left"/>
      <w:pPr>
        <w:ind w:left="2160" w:hanging="360"/>
      </w:pPr>
      <w:rPr>
        <w:rFonts w:ascii="Wingdings" w:hAnsi="Wingdings" w:hint="default"/>
      </w:rPr>
    </w:lvl>
    <w:lvl w:ilvl="3" w:tplc="7BC0D388" w:tentative="1">
      <w:start w:val="1"/>
      <w:numFmt w:val="bullet"/>
      <w:lvlText w:val=""/>
      <w:lvlJc w:val="left"/>
      <w:pPr>
        <w:ind w:left="2880" w:hanging="360"/>
      </w:pPr>
      <w:rPr>
        <w:rFonts w:ascii="Symbol" w:hAnsi="Symbol" w:hint="default"/>
      </w:rPr>
    </w:lvl>
    <w:lvl w:ilvl="4" w:tplc="811A30B6" w:tentative="1">
      <w:start w:val="1"/>
      <w:numFmt w:val="bullet"/>
      <w:lvlText w:val="o"/>
      <w:lvlJc w:val="left"/>
      <w:pPr>
        <w:ind w:left="3600" w:hanging="360"/>
      </w:pPr>
      <w:rPr>
        <w:rFonts w:ascii="Courier New" w:hAnsi="Courier New" w:hint="default"/>
      </w:rPr>
    </w:lvl>
    <w:lvl w:ilvl="5" w:tplc="36466F92" w:tentative="1">
      <w:start w:val="1"/>
      <w:numFmt w:val="bullet"/>
      <w:lvlText w:val=""/>
      <w:lvlJc w:val="left"/>
      <w:pPr>
        <w:ind w:left="4320" w:hanging="360"/>
      </w:pPr>
      <w:rPr>
        <w:rFonts w:ascii="Wingdings" w:hAnsi="Wingdings" w:hint="default"/>
      </w:rPr>
    </w:lvl>
    <w:lvl w:ilvl="6" w:tplc="B52003DC" w:tentative="1">
      <w:start w:val="1"/>
      <w:numFmt w:val="bullet"/>
      <w:lvlText w:val=""/>
      <w:lvlJc w:val="left"/>
      <w:pPr>
        <w:ind w:left="5040" w:hanging="360"/>
      </w:pPr>
      <w:rPr>
        <w:rFonts w:ascii="Symbol" w:hAnsi="Symbol" w:hint="default"/>
      </w:rPr>
    </w:lvl>
    <w:lvl w:ilvl="7" w:tplc="6ECC185C" w:tentative="1">
      <w:start w:val="1"/>
      <w:numFmt w:val="bullet"/>
      <w:lvlText w:val="o"/>
      <w:lvlJc w:val="left"/>
      <w:pPr>
        <w:ind w:left="5760" w:hanging="360"/>
      </w:pPr>
      <w:rPr>
        <w:rFonts w:ascii="Courier New" w:hAnsi="Courier New" w:hint="default"/>
      </w:rPr>
    </w:lvl>
    <w:lvl w:ilvl="8" w:tplc="FF78570E" w:tentative="1">
      <w:start w:val="1"/>
      <w:numFmt w:val="bullet"/>
      <w:lvlText w:val=""/>
      <w:lvlJc w:val="left"/>
      <w:pPr>
        <w:ind w:left="6480" w:hanging="360"/>
      </w:pPr>
      <w:rPr>
        <w:rFonts w:ascii="Wingdings" w:hAnsi="Wingdings" w:hint="default"/>
      </w:rPr>
    </w:lvl>
  </w:abstractNum>
  <w:num w:numId="1" w16cid:durableId="218439662">
    <w:abstractNumId w:val="3"/>
  </w:num>
  <w:num w:numId="2" w16cid:durableId="476143366">
    <w:abstractNumId w:val="5"/>
  </w:num>
  <w:num w:numId="3" w16cid:durableId="1608077074">
    <w:abstractNumId w:val="4"/>
  </w:num>
  <w:num w:numId="4" w16cid:durableId="2050718300">
    <w:abstractNumId w:val="12"/>
  </w:num>
  <w:num w:numId="5" w16cid:durableId="609896399">
    <w:abstractNumId w:val="8"/>
  </w:num>
  <w:num w:numId="6" w16cid:durableId="1119304529">
    <w:abstractNumId w:val="7"/>
  </w:num>
  <w:num w:numId="7" w16cid:durableId="1151947672">
    <w:abstractNumId w:val="2"/>
  </w:num>
  <w:num w:numId="8" w16cid:durableId="881941346">
    <w:abstractNumId w:val="0"/>
  </w:num>
  <w:num w:numId="9" w16cid:durableId="303463517">
    <w:abstractNumId w:val="11"/>
  </w:num>
  <w:num w:numId="10" w16cid:durableId="1091971041">
    <w:abstractNumId w:val="1"/>
  </w:num>
  <w:num w:numId="11" w16cid:durableId="826287613">
    <w:abstractNumId w:val="10"/>
  </w:num>
  <w:num w:numId="12" w16cid:durableId="36441823">
    <w:abstractNumId w:val="6"/>
  </w:num>
  <w:num w:numId="13" w16cid:durableId="41886529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2"/>
  <w:proofState w:spelling="clean" w:grammar="clean"/>
  <w:defaultTabStop w:val="720"/>
  <w:characterSpacingControl w:val="doNotCompress"/>
  <w:footnotePr>
    <w:numFmt w:val="lowerRoman"/>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BDA"/>
    <w:rsid w:val="00000130"/>
    <w:rsid w:val="000005CB"/>
    <w:rsid w:val="00000C6F"/>
    <w:rsid w:val="00001222"/>
    <w:rsid w:val="00002B7A"/>
    <w:rsid w:val="00003997"/>
    <w:rsid w:val="000053BF"/>
    <w:rsid w:val="00005CB8"/>
    <w:rsid w:val="00007141"/>
    <w:rsid w:val="00010F26"/>
    <w:rsid w:val="00011591"/>
    <w:rsid w:val="00013B85"/>
    <w:rsid w:val="00013EDF"/>
    <w:rsid w:val="000143FA"/>
    <w:rsid w:val="000165C7"/>
    <w:rsid w:val="000208F5"/>
    <w:rsid w:val="00020BCB"/>
    <w:rsid w:val="00020E65"/>
    <w:rsid w:val="000216B0"/>
    <w:rsid w:val="00021783"/>
    <w:rsid w:val="00022A46"/>
    <w:rsid w:val="00022FA5"/>
    <w:rsid w:val="00024380"/>
    <w:rsid w:val="00025A86"/>
    <w:rsid w:val="00025F10"/>
    <w:rsid w:val="000261BE"/>
    <w:rsid w:val="00027D81"/>
    <w:rsid w:val="00027E29"/>
    <w:rsid w:val="00030D93"/>
    <w:rsid w:val="000323F3"/>
    <w:rsid w:val="00034FC4"/>
    <w:rsid w:val="000441C4"/>
    <w:rsid w:val="00045393"/>
    <w:rsid w:val="0004618D"/>
    <w:rsid w:val="000502CD"/>
    <w:rsid w:val="00051D78"/>
    <w:rsid w:val="0005421D"/>
    <w:rsid w:val="000545D0"/>
    <w:rsid w:val="00054F46"/>
    <w:rsid w:val="00062D07"/>
    <w:rsid w:val="00063272"/>
    <w:rsid w:val="0006452E"/>
    <w:rsid w:val="0006767B"/>
    <w:rsid w:val="00067F70"/>
    <w:rsid w:val="0007072C"/>
    <w:rsid w:val="000715C0"/>
    <w:rsid w:val="000722AF"/>
    <w:rsid w:val="0007413C"/>
    <w:rsid w:val="0007500F"/>
    <w:rsid w:val="00077E25"/>
    <w:rsid w:val="0008092D"/>
    <w:rsid w:val="000829A5"/>
    <w:rsid w:val="00083067"/>
    <w:rsid w:val="00083ACB"/>
    <w:rsid w:val="00083E17"/>
    <w:rsid w:val="0008439B"/>
    <w:rsid w:val="00085F8C"/>
    <w:rsid w:val="000869F8"/>
    <w:rsid w:val="00086B66"/>
    <w:rsid w:val="00086BD4"/>
    <w:rsid w:val="00090861"/>
    <w:rsid w:val="00090E37"/>
    <w:rsid w:val="00092CB2"/>
    <w:rsid w:val="00095C01"/>
    <w:rsid w:val="000963DB"/>
    <w:rsid w:val="0009777A"/>
    <w:rsid w:val="000A05A3"/>
    <w:rsid w:val="000A0BCE"/>
    <w:rsid w:val="000A17A5"/>
    <w:rsid w:val="000A1837"/>
    <w:rsid w:val="000A2ABA"/>
    <w:rsid w:val="000A5523"/>
    <w:rsid w:val="000B0E7D"/>
    <w:rsid w:val="000B153B"/>
    <w:rsid w:val="000B309E"/>
    <w:rsid w:val="000B3E69"/>
    <w:rsid w:val="000B6B09"/>
    <w:rsid w:val="000C0442"/>
    <w:rsid w:val="000C189D"/>
    <w:rsid w:val="000C3FE2"/>
    <w:rsid w:val="000C6D34"/>
    <w:rsid w:val="000C7AA2"/>
    <w:rsid w:val="000D0B77"/>
    <w:rsid w:val="000D125C"/>
    <w:rsid w:val="000D1F20"/>
    <w:rsid w:val="000D397C"/>
    <w:rsid w:val="000D4ED0"/>
    <w:rsid w:val="000D59B0"/>
    <w:rsid w:val="000D5B85"/>
    <w:rsid w:val="000D63A3"/>
    <w:rsid w:val="000D7A3F"/>
    <w:rsid w:val="000E0E37"/>
    <w:rsid w:val="000E117F"/>
    <w:rsid w:val="000E1BF2"/>
    <w:rsid w:val="000E2E85"/>
    <w:rsid w:val="000E3166"/>
    <w:rsid w:val="000E44FC"/>
    <w:rsid w:val="000E547A"/>
    <w:rsid w:val="000E7C13"/>
    <w:rsid w:val="000E7D4E"/>
    <w:rsid w:val="000F032E"/>
    <w:rsid w:val="000F1BE5"/>
    <w:rsid w:val="000F5512"/>
    <w:rsid w:val="000F6EA0"/>
    <w:rsid w:val="000F73D4"/>
    <w:rsid w:val="001015F0"/>
    <w:rsid w:val="001016A8"/>
    <w:rsid w:val="00102989"/>
    <w:rsid w:val="00103E93"/>
    <w:rsid w:val="001045C8"/>
    <w:rsid w:val="0010499D"/>
    <w:rsid w:val="00106514"/>
    <w:rsid w:val="001075B2"/>
    <w:rsid w:val="00107FB5"/>
    <w:rsid w:val="00110522"/>
    <w:rsid w:val="001109F1"/>
    <w:rsid w:val="00110BA5"/>
    <w:rsid w:val="00110EAE"/>
    <w:rsid w:val="001112AF"/>
    <w:rsid w:val="00112532"/>
    <w:rsid w:val="00112D6A"/>
    <w:rsid w:val="00113334"/>
    <w:rsid w:val="00114A17"/>
    <w:rsid w:val="001156D6"/>
    <w:rsid w:val="00117652"/>
    <w:rsid w:val="001218D1"/>
    <w:rsid w:val="00121CC4"/>
    <w:rsid w:val="00122E1F"/>
    <w:rsid w:val="00123B2C"/>
    <w:rsid w:val="00123D74"/>
    <w:rsid w:val="00125490"/>
    <w:rsid w:val="001257BC"/>
    <w:rsid w:val="00125E48"/>
    <w:rsid w:val="001304C1"/>
    <w:rsid w:val="00131BE5"/>
    <w:rsid w:val="00133BFC"/>
    <w:rsid w:val="00134443"/>
    <w:rsid w:val="00134893"/>
    <w:rsid w:val="0013634F"/>
    <w:rsid w:val="00136BE6"/>
    <w:rsid w:val="00141164"/>
    <w:rsid w:val="001437A2"/>
    <w:rsid w:val="00144B18"/>
    <w:rsid w:val="0014520B"/>
    <w:rsid w:val="00145465"/>
    <w:rsid w:val="0014594D"/>
    <w:rsid w:val="00145C7B"/>
    <w:rsid w:val="00146A32"/>
    <w:rsid w:val="00147227"/>
    <w:rsid w:val="00147D81"/>
    <w:rsid w:val="00147DA4"/>
    <w:rsid w:val="00147E0C"/>
    <w:rsid w:val="00150629"/>
    <w:rsid w:val="0015583B"/>
    <w:rsid w:val="00155B99"/>
    <w:rsid w:val="00156CE5"/>
    <w:rsid w:val="00157CE6"/>
    <w:rsid w:val="00160694"/>
    <w:rsid w:val="00162F8A"/>
    <w:rsid w:val="00164DA6"/>
    <w:rsid w:val="001656C3"/>
    <w:rsid w:val="00165F80"/>
    <w:rsid w:val="00172BB4"/>
    <w:rsid w:val="001732C3"/>
    <w:rsid w:val="001739EE"/>
    <w:rsid w:val="00173C56"/>
    <w:rsid w:val="00175834"/>
    <w:rsid w:val="00175BE2"/>
    <w:rsid w:val="00175E28"/>
    <w:rsid w:val="00175F8C"/>
    <w:rsid w:val="00182A6B"/>
    <w:rsid w:val="001837D0"/>
    <w:rsid w:val="00184AA2"/>
    <w:rsid w:val="00186AB1"/>
    <w:rsid w:val="00190270"/>
    <w:rsid w:val="00190898"/>
    <w:rsid w:val="0019175E"/>
    <w:rsid w:val="0019286F"/>
    <w:rsid w:val="00192C0B"/>
    <w:rsid w:val="00193783"/>
    <w:rsid w:val="00193FDF"/>
    <w:rsid w:val="0019487D"/>
    <w:rsid w:val="00194D16"/>
    <w:rsid w:val="00194DF3"/>
    <w:rsid w:val="0019635E"/>
    <w:rsid w:val="00196E55"/>
    <w:rsid w:val="00197092"/>
    <w:rsid w:val="001972FE"/>
    <w:rsid w:val="001974FF"/>
    <w:rsid w:val="001A0134"/>
    <w:rsid w:val="001A0F38"/>
    <w:rsid w:val="001A2155"/>
    <w:rsid w:val="001A2926"/>
    <w:rsid w:val="001A2CEE"/>
    <w:rsid w:val="001A7998"/>
    <w:rsid w:val="001A7C6E"/>
    <w:rsid w:val="001B053A"/>
    <w:rsid w:val="001B08D1"/>
    <w:rsid w:val="001B23ED"/>
    <w:rsid w:val="001B25CA"/>
    <w:rsid w:val="001B3DC8"/>
    <w:rsid w:val="001B413C"/>
    <w:rsid w:val="001B60D0"/>
    <w:rsid w:val="001B6A60"/>
    <w:rsid w:val="001B7E5A"/>
    <w:rsid w:val="001C0108"/>
    <w:rsid w:val="001C0185"/>
    <w:rsid w:val="001C1688"/>
    <w:rsid w:val="001C1F03"/>
    <w:rsid w:val="001C3D1D"/>
    <w:rsid w:val="001C4004"/>
    <w:rsid w:val="001C4C7D"/>
    <w:rsid w:val="001C5753"/>
    <w:rsid w:val="001C68B2"/>
    <w:rsid w:val="001C706F"/>
    <w:rsid w:val="001D1AB0"/>
    <w:rsid w:val="001D2E6B"/>
    <w:rsid w:val="001D4CD7"/>
    <w:rsid w:val="001D5594"/>
    <w:rsid w:val="001D58F8"/>
    <w:rsid w:val="001D66F1"/>
    <w:rsid w:val="001D783D"/>
    <w:rsid w:val="001E03C5"/>
    <w:rsid w:val="001E0877"/>
    <w:rsid w:val="001E1761"/>
    <w:rsid w:val="001E2723"/>
    <w:rsid w:val="001E3A0C"/>
    <w:rsid w:val="001E4B54"/>
    <w:rsid w:val="001E7CA4"/>
    <w:rsid w:val="001F0BDB"/>
    <w:rsid w:val="001F202B"/>
    <w:rsid w:val="001F4872"/>
    <w:rsid w:val="001F4CCA"/>
    <w:rsid w:val="001F6AF2"/>
    <w:rsid w:val="00200139"/>
    <w:rsid w:val="00200307"/>
    <w:rsid w:val="00200F26"/>
    <w:rsid w:val="00201030"/>
    <w:rsid w:val="0020147C"/>
    <w:rsid w:val="002017ED"/>
    <w:rsid w:val="00202730"/>
    <w:rsid w:val="00203264"/>
    <w:rsid w:val="00203772"/>
    <w:rsid w:val="002038EE"/>
    <w:rsid w:val="00204381"/>
    <w:rsid w:val="002061D2"/>
    <w:rsid w:val="0020709F"/>
    <w:rsid w:val="002072CF"/>
    <w:rsid w:val="00211A8B"/>
    <w:rsid w:val="00212594"/>
    <w:rsid w:val="0021363A"/>
    <w:rsid w:val="0021371B"/>
    <w:rsid w:val="00213762"/>
    <w:rsid w:val="00213DEC"/>
    <w:rsid w:val="00215B5D"/>
    <w:rsid w:val="0021647A"/>
    <w:rsid w:val="002164B2"/>
    <w:rsid w:val="00217FE2"/>
    <w:rsid w:val="0022010A"/>
    <w:rsid w:val="0022090E"/>
    <w:rsid w:val="00220DA2"/>
    <w:rsid w:val="00221057"/>
    <w:rsid w:val="002217BC"/>
    <w:rsid w:val="00224AA1"/>
    <w:rsid w:val="00225C05"/>
    <w:rsid w:val="00230905"/>
    <w:rsid w:val="00231481"/>
    <w:rsid w:val="00231EA0"/>
    <w:rsid w:val="00231EAE"/>
    <w:rsid w:val="002323D2"/>
    <w:rsid w:val="0023271D"/>
    <w:rsid w:val="00234534"/>
    <w:rsid w:val="00234FB9"/>
    <w:rsid w:val="002369D1"/>
    <w:rsid w:val="00236D41"/>
    <w:rsid w:val="00236D85"/>
    <w:rsid w:val="00236E9B"/>
    <w:rsid w:val="00237790"/>
    <w:rsid w:val="00237FD2"/>
    <w:rsid w:val="0024501A"/>
    <w:rsid w:val="0025008D"/>
    <w:rsid w:val="00254C70"/>
    <w:rsid w:val="00257AF8"/>
    <w:rsid w:val="00261EE0"/>
    <w:rsid w:val="0026394B"/>
    <w:rsid w:val="0026453C"/>
    <w:rsid w:val="00264D2E"/>
    <w:rsid w:val="0026598A"/>
    <w:rsid w:val="0026649F"/>
    <w:rsid w:val="00266790"/>
    <w:rsid w:val="00266D83"/>
    <w:rsid w:val="002705A4"/>
    <w:rsid w:val="00270EE5"/>
    <w:rsid w:val="002717A5"/>
    <w:rsid w:val="00274204"/>
    <w:rsid w:val="002747C7"/>
    <w:rsid w:val="002762D6"/>
    <w:rsid w:val="00276400"/>
    <w:rsid w:val="002767BC"/>
    <w:rsid w:val="0027710C"/>
    <w:rsid w:val="002779F1"/>
    <w:rsid w:val="00281289"/>
    <w:rsid w:val="002812CB"/>
    <w:rsid w:val="00282373"/>
    <w:rsid w:val="00282474"/>
    <w:rsid w:val="002826EF"/>
    <w:rsid w:val="00282B8F"/>
    <w:rsid w:val="002837E9"/>
    <w:rsid w:val="0028392E"/>
    <w:rsid w:val="0028429F"/>
    <w:rsid w:val="00284527"/>
    <w:rsid w:val="002850D5"/>
    <w:rsid w:val="00285151"/>
    <w:rsid w:val="00285A55"/>
    <w:rsid w:val="00285F72"/>
    <w:rsid w:val="00287D90"/>
    <w:rsid w:val="00297CC2"/>
    <w:rsid w:val="00297DBE"/>
    <w:rsid w:val="002A0A29"/>
    <w:rsid w:val="002A0EEB"/>
    <w:rsid w:val="002A2244"/>
    <w:rsid w:val="002A363C"/>
    <w:rsid w:val="002A7D07"/>
    <w:rsid w:val="002B1059"/>
    <w:rsid w:val="002B1CCF"/>
    <w:rsid w:val="002B284B"/>
    <w:rsid w:val="002B2F03"/>
    <w:rsid w:val="002B5730"/>
    <w:rsid w:val="002B6D4A"/>
    <w:rsid w:val="002C0795"/>
    <w:rsid w:val="002C2889"/>
    <w:rsid w:val="002C2E2D"/>
    <w:rsid w:val="002C574C"/>
    <w:rsid w:val="002C6414"/>
    <w:rsid w:val="002D02EA"/>
    <w:rsid w:val="002D030D"/>
    <w:rsid w:val="002D1680"/>
    <w:rsid w:val="002D3D91"/>
    <w:rsid w:val="002D4007"/>
    <w:rsid w:val="002D5D7B"/>
    <w:rsid w:val="002D605C"/>
    <w:rsid w:val="002D6F8E"/>
    <w:rsid w:val="002E0A16"/>
    <w:rsid w:val="002E1605"/>
    <w:rsid w:val="002E17D8"/>
    <w:rsid w:val="002E24CE"/>
    <w:rsid w:val="002E2A78"/>
    <w:rsid w:val="002E316D"/>
    <w:rsid w:val="002E331E"/>
    <w:rsid w:val="002E3E8A"/>
    <w:rsid w:val="002E3FF2"/>
    <w:rsid w:val="002E6F90"/>
    <w:rsid w:val="002E710D"/>
    <w:rsid w:val="002E78CE"/>
    <w:rsid w:val="002F1838"/>
    <w:rsid w:val="002F26B9"/>
    <w:rsid w:val="002F31DE"/>
    <w:rsid w:val="002F552D"/>
    <w:rsid w:val="002F5B18"/>
    <w:rsid w:val="002F716E"/>
    <w:rsid w:val="002F7293"/>
    <w:rsid w:val="002F7359"/>
    <w:rsid w:val="002F799A"/>
    <w:rsid w:val="002F7FA2"/>
    <w:rsid w:val="00300336"/>
    <w:rsid w:val="00303854"/>
    <w:rsid w:val="00303A94"/>
    <w:rsid w:val="003040A4"/>
    <w:rsid w:val="00304A97"/>
    <w:rsid w:val="00307D90"/>
    <w:rsid w:val="0031047E"/>
    <w:rsid w:val="00310770"/>
    <w:rsid w:val="00310B31"/>
    <w:rsid w:val="003112E1"/>
    <w:rsid w:val="0031415A"/>
    <w:rsid w:val="00315050"/>
    <w:rsid w:val="00315F26"/>
    <w:rsid w:val="00320414"/>
    <w:rsid w:val="00321328"/>
    <w:rsid w:val="00325D2C"/>
    <w:rsid w:val="0032662C"/>
    <w:rsid w:val="00326F9B"/>
    <w:rsid w:val="00327492"/>
    <w:rsid w:val="0033088A"/>
    <w:rsid w:val="003314AA"/>
    <w:rsid w:val="0033378B"/>
    <w:rsid w:val="003337B7"/>
    <w:rsid w:val="0033382C"/>
    <w:rsid w:val="0033420E"/>
    <w:rsid w:val="00334C96"/>
    <w:rsid w:val="00336755"/>
    <w:rsid w:val="00342EE8"/>
    <w:rsid w:val="003433A0"/>
    <w:rsid w:val="003433C6"/>
    <w:rsid w:val="00343B2C"/>
    <w:rsid w:val="00344D12"/>
    <w:rsid w:val="0034510A"/>
    <w:rsid w:val="00347E16"/>
    <w:rsid w:val="00351731"/>
    <w:rsid w:val="003518B2"/>
    <w:rsid w:val="003521B6"/>
    <w:rsid w:val="0035254C"/>
    <w:rsid w:val="00352638"/>
    <w:rsid w:val="00357AF0"/>
    <w:rsid w:val="00362CF3"/>
    <w:rsid w:val="003631E5"/>
    <w:rsid w:val="00364708"/>
    <w:rsid w:val="00364C20"/>
    <w:rsid w:val="00365060"/>
    <w:rsid w:val="0036545A"/>
    <w:rsid w:val="00365690"/>
    <w:rsid w:val="003660B0"/>
    <w:rsid w:val="003673EA"/>
    <w:rsid w:val="003676CD"/>
    <w:rsid w:val="00371CAF"/>
    <w:rsid w:val="0037398B"/>
    <w:rsid w:val="00373E9F"/>
    <w:rsid w:val="0038214F"/>
    <w:rsid w:val="0038227B"/>
    <w:rsid w:val="0038330D"/>
    <w:rsid w:val="0038385F"/>
    <w:rsid w:val="00384AF3"/>
    <w:rsid w:val="00386DA4"/>
    <w:rsid w:val="00390B73"/>
    <w:rsid w:val="00390E7C"/>
    <w:rsid w:val="003918AE"/>
    <w:rsid w:val="00393439"/>
    <w:rsid w:val="00393A29"/>
    <w:rsid w:val="003949C6"/>
    <w:rsid w:val="00394D82"/>
    <w:rsid w:val="00397997"/>
    <w:rsid w:val="00397B02"/>
    <w:rsid w:val="00397ECC"/>
    <w:rsid w:val="003A14DA"/>
    <w:rsid w:val="003A1CFB"/>
    <w:rsid w:val="003A204C"/>
    <w:rsid w:val="003A246B"/>
    <w:rsid w:val="003A6C30"/>
    <w:rsid w:val="003B0215"/>
    <w:rsid w:val="003B300E"/>
    <w:rsid w:val="003B33E6"/>
    <w:rsid w:val="003B3575"/>
    <w:rsid w:val="003B3C11"/>
    <w:rsid w:val="003B40B3"/>
    <w:rsid w:val="003B435F"/>
    <w:rsid w:val="003B652C"/>
    <w:rsid w:val="003B6A83"/>
    <w:rsid w:val="003B6D87"/>
    <w:rsid w:val="003C0DEA"/>
    <w:rsid w:val="003C349E"/>
    <w:rsid w:val="003C39A4"/>
    <w:rsid w:val="003C483D"/>
    <w:rsid w:val="003C508D"/>
    <w:rsid w:val="003C5BBD"/>
    <w:rsid w:val="003C6773"/>
    <w:rsid w:val="003C6FE8"/>
    <w:rsid w:val="003D003E"/>
    <w:rsid w:val="003D0B76"/>
    <w:rsid w:val="003D0EF7"/>
    <w:rsid w:val="003D138E"/>
    <w:rsid w:val="003D190A"/>
    <w:rsid w:val="003D1CBA"/>
    <w:rsid w:val="003D5563"/>
    <w:rsid w:val="003D6BB1"/>
    <w:rsid w:val="003D7763"/>
    <w:rsid w:val="003E11F0"/>
    <w:rsid w:val="003E207B"/>
    <w:rsid w:val="003E2A5E"/>
    <w:rsid w:val="003E2AC4"/>
    <w:rsid w:val="003E32A6"/>
    <w:rsid w:val="003E38A0"/>
    <w:rsid w:val="003E3BCC"/>
    <w:rsid w:val="003E4EEE"/>
    <w:rsid w:val="003E7EED"/>
    <w:rsid w:val="003F0B27"/>
    <w:rsid w:val="003F0BDA"/>
    <w:rsid w:val="003F1311"/>
    <w:rsid w:val="003F32C7"/>
    <w:rsid w:val="003F34E3"/>
    <w:rsid w:val="003F59F0"/>
    <w:rsid w:val="0040098A"/>
    <w:rsid w:val="004026CE"/>
    <w:rsid w:val="00403274"/>
    <w:rsid w:val="00404E1F"/>
    <w:rsid w:val="004057BE"/>
    <w:rsid w:val="0041083D"/>
    <w:rsid w:val="00410CDD"/>
    <w:rsid w:val="00413601"/>
    <w:rsid w:val="00415AA4"/>
    <w:rsid w:val="004178D0"/>
    <w:rsid w:val="004213E4"/>
    <w:rsid w:val="0042157D"/>
    <w:rsid w:val="0042597A"/>
    <w:rsid w:val="00427171"/>
    <w:rsid w:val="0043095E"/>
    <w:rsid w:val="00432427"/>
    <w:rsid w:val="00432ABA"/>
    <w:rsid w:val="00432CB4"/>
    <w:rsid w:val="00433FB0"/>
    <w:rsid w:val="00436415"/>
    <w:rsid w:val="0043686F"/>
    <w:rsid w:val="00436A42"/>
    <w:rsid w:val="004371A4"/>
    <w:rsid w:val="00437EEB"/>
    <w:rsid w:val="004410FB"/>
    <w:rsid w:val="00445CE1"/>
    <w:rsid w:val="00445D6D"/>
    <w:rsid w:val="00446C46"/>
    <w:rsid w:val="00446DD9"/>
    <w:rsid w:val="00447036"/>
    <w:rsid w:val="00447A4B"/>
    <w:rsid w:val="00447C9E"/>
    <w:rsid w:val="00451057"/>
    <w:rsid w:val="00451C9E"/>
    <w:rsid w:val="00452CA4"/>
    <w:rsid w:val="00455AE5"/>
    <w:rsid w:val="00456215"/>
    <w:rsid w:val="00457A62"/>
    <w:rsid w:val="00460F33"/>
    <w:rsid w:val="00460F72"/>
    <w:rsid w:val="004635FE"/>
    <w:rsid w:val="00465F91"/>
    <w:rsid w:val="004663D0"/>
    <w:rsid w:val="00466D8D"/>
    <w:rsid w:val="004675B1"/>
    <w:rsid w:val="00472432"/>
    <w:rsid w:val="004727D4"/>
    <w:rsid w:val="00472A7A"/>
    <w:rsid w:val="0047399E"/>
    <w:rsid w:val="00473C2F"/>
    <w:rsid w:val="00474668"/>
    <w:rsid w:val="004761F5"/>
    <w:rsid w:val="004770FB"/>
    <w:rsid w:val="004771B7"/>
    <w:rsid w:val="00480EB5"/>
    <w:rsid w:val="00481938"/>
    <w:rsid w:val="00482060"/>
    <w:rsid w:val="0048346C"/>
    <w:rsid w:val="0048567D"/>
    <w:rsid w:val="00486857"/>
    <w:rsid w:val="0048728F"/>
    <w:rsid w:val="004902DF"/>
    <w:rsid w:val="00490765"/>
    <w:rsid w:val="00491BAB"/>
    <w:rsid w:val="00492A31"/>
    <w:rsid w:val="0049320E"/>
    <w:rsid w:val="004943E4"/>
    <w:rsid w:val="00494D92"/>
    <w:rsid w:val="00494E97"/>
    <w:rsid w:val="00495F46"/>
    <w:rsid w:val="00496BAE"/>
    <w:rsid w:val="004A1D36"/>
    <w:rsid w:val="004A1DC5"/>
    <w:rsid w:val="004A24B8"/>
    <w:rsid w:val="004A2E59"/>
    <w:rsid w:val="004A409E"/>
    <w:rsid w:val="004A43F3"/>
    <w:rsid w:val="004A4805"/>
    <w:rsid w:val="004A58BF"/>
    <w:rsid w:val="004A6567"/>
    <w:rsid w:val="004B0502"/>
    <w:rsid w:val="004B0595"/>
    <w:rsid w:val="004B069E"/>
    <w:rsid w:val="004B08C8"/>
    <w:rsid w:val="004B1340"/>
    <w:rsid w:val="004B1C62"/>
    <w:rsid w:val="004B2509"/>
    <w:rsid w:val="004B27B9"/>
    <w:rsid w:val="004B36C9"/>
    <w:rsid w:val="004B4FD4"/>
    <w:rsid w:val="004B6738"/>
    <w:rsid w:val="004B6DD7"/>
    <w:rsid w:val="004C041C"/>
    <w:rsid w:val="004C08FB"/>
    <w:rsid w:val="004C2D1D"/>
    <w:rsid w:val="004C2D3B"/>
    <w:rsid w:val="004C3C86"/>
    <w:rsid w:val="004C44DE"/>
    <w:rsid w:val="004C58D7"/>
    <w:rsid w:val="004C5AF3"/>
    <w:rsid w:val="004C5E9F"/>
    <w:rsid w:val="004C6368"/>
    <w:rsid w:val="004C72C9"/>
    <w:rsid w:val="004D01E4"/>
    <w:rsid w:val="004D0E39"/>
    <w:rsid w:val="004D4B4D"/>
    <w:rsid w:val="004D5065"/>
    <w:rsid w:val="004D62AD"/>
    <w:rsid w:val="004D749C"/>
    <w:rsid w:val="004E0497"/>
    <w:rsid w:val="004E11B1"/>
    <w:rsid w:val="004E12E1"/>
    <w:rsid w:val="004E15F9"/>
    <w:rsid w:val="004E386F"/>
    <w:rsid w:val="004E51A9"/>
    <w:rsid w:val="004E5B5C"/>
    <w:rsid w:val="004E6266"/>
    <w:rsid w:val="004F3034"/>
    <w:rsid w:val="004F3058"/>
    <w:rsid w:val="004F409F"/>
    <w:rsid w:val="004F464B"/>
    <w:rsid w:val="004F54BC"/>
    <w:rsid w:val="004F6957"/>
    <w:rsid w:val="004F7495"/>
    <w:rsid w:val="00501E09"/>
    <w:rsid w:val="00503CBA"/>
    <w:rsid w:val="00505781"/>
    <w:rsid w:val="005070E0"/>
    <w:rsid w:val="0050770C"/>
    <w:rsid w:val="00510157"/>
    <w:rsid w:val="005115FA"/>
    <w:rsid w:val="00515D66"/>
    <w:rsid w:val="00515FD4"/>
    <w:rsid w:val="005165B7"/>
    <w:rsid w:val="00521194"/>
    <w:rsid w:val="005211F5"/>
    <w:rsid w:val="00521DBC"/>
    <w:rsid w:val="0052259D"/>
    <w:rsid w:val="005227FD"/>
    <w:rsid w:val="00523100"/>
    <w:rsid w:val="00523A93"/>
    <w:rsid w:val="00526B24"/>
    <w:rsid w:val="0052731B"/>
    <w:rsid w:val="00527425"/>
    <w:rsid w:val="00527E42"/>
    <w:rsid w:val="00531A9A"/>
    <w:rsid w:val="00533160"/>
    <w:rsid w:val="00534073"/>
    <w:rsid w:val="0053496B"/>
    <w:rsid w:val="00536FA4"/>
    <w:rsid w:val="00540619"/>
    <w:rsid w:val="00541B04"/>
    <w:rsid w:val="00541BCB"/>
    <w:rsid w:val="00542D7B"/>
    <w:rsid w:val="00543E59"/>
    <w:rsid w:val="00546F9B"/>
    <w:rsid w:val="00550512"/>
    <w:rsid w:val="00550593"/>
    <w:rsid w:val="0055253A"/>
    <w:rsid w:val="00553F96"/>
    <w:rsid w:val="00554B9A"/>
    <w:rsid w:val="0055703B"/>
    <w:rsid w:val="005624EF"/>
    <w:rsid w:val="00565350"/>
    <w:rsid w:val="0056778B"/>
    <w:rsid w:val="005716D5"/>
    <w:rsid w:val="005733F8"/>
    <w:rsid w:val="0057387B"/>
    <w:rsid w:val="00573FE6"/>
    <w:rsid w:val="00575BE6"/>
    <w:rsid w:val="00576996"/>
    <w:rsid w:val="00577CD3"/>
    <w:rsid w:val="005801D7"/>
    <w:rsid w:val="0058527F"/>
    <w:rsid w:val="0058538E"/>
    <w:rsid w:val="00585AD1"/>
    <w:rsid w:val="0058626F"/>
    <w:rsid w:val="00586BF7"/>
    <w:rsid w:val="005876C2"/>
    <w:rsid w:val="00587CFC"/>
    <w:rsid w:val="00590332"/>
    <w:rsid w:val="005924DC"/>
    <w:rsid w:val="00592D75"/>
    <w:rsid w:val="00594B25"/>
    <w:rsid w:val="00594D56"/>
    <w:rsid w:val="005968F0"/>
    <w:rsid w:val="00596966"/>
    <w:rsid w:val="005A141D"/>
    <w:rsid w:val="005A16B0"/>
    <w:rsid w:val="005A1E3B"/>
    <w:rsid w:val="005A2968"/>
    <w:rsid w:val="005A2A69"/>
    <w:rsid w:val="005A39CB"/>
    <w:rsid w:val="005A3A0F"/>
    <w:rsid w:val="005A46D8"/>
    <w:rsid w:val="005A488F"/>
    <w:rsid w:val="005A4A86"/>
    <w:rsid w:val="005A4DD0"/>
    <w:rsid w:val="005A7669"/>
    <w:rsid w:val="005A78C4"/>
    <w:rsid w:val="005B081B"/>
    <w:rsid w:val="005B0D9E"/>
    <w:rsid w:val="005B2430"/>
    <w:rsid w:val="005B3952"/>
    <w:rsid w:val="005B59EC"/>
    <w:rsid w:val="005C22BD"/>
    <w:rsid w:val="005C40F2"/>
    <w:rsid w:val="005C550A"/>
    <w:rsid w:val="005C590E"/>
    <w:rsid w:val="005D0753"/>
    <w:rsid w:val="005D0B2E"/>
    <w:rsid w:val="005D10C7"/>
    <w:rsid w:val="005D2A0D"/>
    <w:rsid w:val="005D315D"/>
    <w:rsid w:val="005D49E6"/>
    <w:rsid w:val="005D6E03"/>
    <w:rsid w:val="005D71E3"/>
    <w:rsid w:val="005D7FBB"/>
    <w:rsid w:val="005E0084"/>
    <w:rsid w:val="005E41AC"/>
    <w:rsid w:val="005E43C0"/>
    <w:rsid w:val="005E490A"/>
    <w:rsid w:val="005E6AFE"/>
    <w:rsid w:val="005E7250"/>
    <w:rsid w:val="005E7273"/>
    <w:rsid w:val="005F2DE0"/>
    <w:rsid w:val="005F4781"/>
    <w:rsid w:val="005F47B6"/>
    <w:rsid w:val="005F6A33"/>
    <w:rsid w:val="005F6E78"/>
    <w:rsid w:val="006000C8"/>
    <w:rsid w:val="00600536"/>
    <w:rsid w:val="00600C73"/>
    <w:rsid w:val="00600F56"/>
    <w:rsid w:val="006014E7"/>
    <w:rsid w:val="00606208"/>
    <w:rsid w:val="00607596"/>
    <w:rsid w:val="0060762B"/>
    <w:rsid w:val="006108BD"/>
    <w:rsid w:val="00611027"/>
    <w:rsid w:val="00611F81"/>
    <w:rsid w:val="00611FE0"/>
    <w:rsid w:val="006143E5"/>
    <w:rsid w:val="00615E7E"/>
    <w:rsid w:val="00615EB8"/>
    <w:rsid w:val="00617AB2"/>
    <w:rsid w:val="00620506"/>
    <w:rsid w:val="00622600"/>
    <w:rsid w:val="0062293B"/>
    <w:rsid w:val="00622A6E"/>
    <w:rsid w:val="006238A8"/>
    <w:rsid w:val="00623906"/>
    <w:rsid w:val="00624386"/>
    <w:rsid w:val="006245B8"/>
    <w:rsid w:val="00626454"/>
    <w:rsid w:val="00626733"/>
    <w:rsid w:val="00626D75"/>
    <w:rsid w:val="00627ADE"/>
    <w:rsid w:val="0063177E"/>
    <w:rsid w:val="00631E26"/>
    <w:rsid w:val="0063391D"/>
    <w:rsid w:val="0063477B"/>
    <w:rsid w:val="006368BB"/>
    <w:rsid w:val="006370C8"/>
    <w:rsid w:val="00640400"/>
    <w:rsid w:val="00641A6B"/>
    <w:rsid w:val="00642684"/>
    <w:rsid w:val="0064652A"/>
    <w:rsid w:val="00646924"/>
    <w:rsid w:val="00647499"/>
    <w:rsid w:val="006479BA"/>
    <w:rsid w:val="00647E29"/>
    <w:rsid w:val="00652558"/>
    <w:rsid w:val="00652977"/>
    <w:rsid w:val="00652BBA"/>
    <w:rsid w:val="00652D22"/>
    <w:rsid w:val="006538EF"/>
    <w:rsid w:val="0065519E"/>
    <w:rsid w:val="00655654"/>
    <w:rsid w:val="006558F4"/>
    <w:rsid w:val="00655B70"/>
    <w:rsid w:val="00655C1E"/>
    <w:rsid w:val="00662758"/>
    <w:rsid w:val="00663816"/>
    <w:rsid w:val="00664692"/>
    <w:rsid w:val="00664A52"/>
    <w:rsid w:val="0066545F"/>
    <w:rsid w:val="006660F3"/>
    <w:rsid w:val="00666CE4"/>
    <w:rsid w:val="006700B8"/>
    <w:rsid w:val="006710E9"/>
    <w:rsid w:val="00671DBC"/>
    <w:rsid w:val="00673552"/>
    <w:rsid w:val="0067432C"/>
    <w:rsid w:val="006756B9"/>
    <w:rsid w:val="006774D8"/>
    <w:rsid w:val="006778A6"/>
    <w:rsid w:val="0068061F"/>
    <w:rsid w:val="0068137B"/>
    <w:rsid w:val="00682A65"/>
    <w:rsid w:val="00686535"/>
    <w:rsid w:val="00687AE6"/>
    <w:rsid w:val="00691CEB"/>
    <w:rsid w:val="00693C64"/>
    <w:rsid w:val="006942E8"/>
    <w:rsid w:val="00694F16"/>
    <w:rsid w:val="00695CC1"/>
    <w:rsid w:val="00696BCB"/>
    <w:rsid w:val="006A15EF"/>
    <w:rsid w:val="006A3C39"/>
    <w:rsid w:val="006A45E9"/>
    <w:rsid w:val="006A6AF3"/>
    <w:rsid w:val="006B13BA"/>
    <w:rsid w:val="006B238F"/>
    <w:rsid w:val="006B746D"/>
    <w:rsid w:val="006C1712"/>
    <w:rsid w:val="006C1BDF"/>
    <w:rsid w:val="006C42A2"/>
    <w:rsid w:val="006C63FD"/>
    <w:rsid w:val="006C7926"/>
    <w:rsid w:val="006C7B3F"/>
    <w:rsid w:val="006D0087"/>
    <w:rsid w:val="006D2AA5"/>
    <w:rsid w:val="006D50E4"/>
    <w:rsid w:val="006D54AB"/>
    <w:rsid w:val="006D5AD4"/>
    <w:rsid w:val="006E11D7"/>
    <w:rsid w:val="006E267B"/>
    <w:rsid w:val="006E29B4"/>
    <w:rsid w:val="006E3043"/>
    <w:rsid w:val="006E378D"/>
    <w:rsid w:val="006E5212"/>
    <w:rsid w:val="006E540F"/>
    <w:rsid w:val="006F12A8"/>
    <w:rsid w:val="006F1A63"/>
    <w:rsid w:val="006F3B3B"/>
    <w:rsid w:val="006F3F00"/>
    <w:rsid w:val="006F724B"/>
    <w:rsid w:val="006F73E2"/>
    <w:rsid w:val="006F76CB"/>
    <w:rsid w:val="007021AE"/>
    <w:rsid w:val="0070296A"/>
    <w:rsid w:val="00702AF5"/>
    <w:rsid w:val="00704783"/>
    <w:rsid w:val="00704805"/>
    <w:rsid w:val="0070516D"/>
    <w:rsid w:val="00705F22"/>
    <w:rsid w:val="00705F89"/>
    <w:rsid w:val="00706024"/>
    <w:rsid w:val="00706F6A"/>
    <w:rsid w:val="0070728B"/>
    <w:rsid w:val="007072A1"/>
    <w:rsid w:val="00710E10"/>
    <w:rsid w:val="007127FF"/>
    <w:rsid w:val="00712908"/>
    <w:rsid w:val="007153B8"/>
    <w:rsid w:val="00717765"/>
    <w:rsid w:val="007205EE"/>
    <w:rsid w:val="007207D7"/>
    <w:rsid w:val="00720D3A"/>
    <w:rsid w:val="00720F71"/>
    <w:rsid w:val="007211B2"/>
    <w:rsid w:val="00721CE0"/>
    <w:rsid w:val="00726270"/>
    <w:rsid w:val="00727FA7"/>
    <w:rsid w:val="0073060B"/>
    <w:rsid w:val="00730908"/>
    <w:rsid w:val="00732A60"/>
    <w:rsid w:val="00732B0F"/>
    <w:rsid w:val="007339CE"/>
    <w:rsid w:val="007344AE"/>
    <w:rsid w:val="007349C5"/>
    <w:rsid w:val="00734B01"/>
    <w:rsid w:val="00734B36"/>
    <w:rsid w:val="0073663B"/>
    <w:rsid w:val="007371BE"/>
    <w:rsid w:val="00737235"/>
    <w:rsid w:val="007412BB"/>
    <w:rsid w:val="007416D6"/>
    <w:rsid w:val="0074190A"/>
    <w:rsid w:val="00741C05"/>
    <w:rsid w:val="00742087"/>
    <w:rsid w:val="00742874"/>
    <w:rsid w:val="00744944"/>
    <w:rsid w:val="00745378"/>
    <w:rsid w:val="0074594A"/>
    <w:rsid w:val="00745DC2"/>
    <w:rsid w:val="00746090"/>
    <w:rsid w:val="007470F3"/>
    <w:rsid w:val="007478B3"/>
    <w:rsid w:val="00747F8E"/>
    <w:rsid w:val="00750223"/>
    <w:rsid w:val="00750535"/>
    <w:rsid w:val="00752A3C"/>
    <w:rsid w:val="00752C01"/>
    <w:rsid w:val="00753E01"/>
    <w:rsid w:val="0075460C"/>
    <w:rsid w:val="00754FC4"/>
    <w:rsid w:val="00761D09"/>
    <w:rsid w:val="007632DA"/>
    <w:rsid w:val="00763D5D"/>
    <w:rsid w:val="00764793"/>
    <w:rsid w:val="0076614F"/>
    <w:rsid w:val="00766FDC"/>
    <w:rsid w:val="007672D8"/>
    <w:rsid w:val="0077073F"/>
    <w:rsid w:val="00772873"/>
    <w:rsid w:val="00773A3B"/>
    <w:rsid w:val="00773F45"/>
    <w:rsid w:val="00773F8B"/>
    <w:rsid w:val="00775320"/>
    <w:rsid w:val="00776029"/>
    <w:rsid w:val="007760F8"/>
    <w:rsid w:val="00777A00"/>
    <w:rsid w:val="007818EE"/>
    <w:rsid w:val="007820EE"/>
    <w:rsid w:val="007826B3"/>
    <w:rsid w:val="00783CCD"/>
    <w:rsid w:val="00790F2F"/>
    <w:rsid w:val="00791AE6"/>
    <w:rsid w:val="007920DD"/>
    <w:rsid w:val="007934E1"/>
    <w:rsid w:val="00794782"/>
    <w:rsid w:val="00794942"/>
    <w:rsid w:val="00795C29"/>
    <w:rsid w:val="00795FFF"/>
    <w:rsid w:val="0079659A"/>
    <w:rsid w:val="0079746C"/>
    <w:rsid w:val="007A0077"/>
    <w:rsid w:val="007A0212"/>
    <w:rsid w:val="007A0B2E"/>
    <w:rsid w:val="007A195A"/>
    <w:rsid w:val="007A31F6"/>
    <w:rsid w:val="007A3489"/>
    <w:rsid w:val="007A5623"/>
    <w:rsid w:val="007A5D17"/>
    <w:rsid w:val="007A6D2F"/>
    <w:rsid w:val="007A714A"/>
    <w:rsid w:val="007A75D5"/>
    <w:rsid w:val="007B1035"/>
    <w:rsid w:val="007B1641"/>
    <w:rsid w:val="007B2303"/>
    <w:rsid w:val="007B3000"/>
    <w:rsid w:val="007B325C"/>
    <w:rsid w:val="007B3D65"/>
    <w:rsid w:val="007B4060"/>
    <w:rsid w:val="007B5FE3"/>
    <w:rsid w:val="007B6804"/>
    <w:rsid w:val="007B6A20"/>
    <w:rsid w:val="007C0F4C"/>
    <w:rsid w:val="007C0F7A"/>
    <w:rsid w:val="007C15D5"/>
    <w:rsid w:val="007C1D17"/>
    <w:rsid w:val="007C4488"/>
    <w:rsid w:val="007C47A6"/>
    <w:rsid w:val="007C753E"/>
    <w:rsid w:val="007D1123"/>
    <w:rsid w:val="007D143A"/>
    <w:rsid w:val="007D1DEC"/>
    <w:rsid w:val="007D1DFB"/>
    <w:rsid w:val="007D29E3"/>
    <w:rsid w:val="007D2E87"/>
    <w:rsid w:val="007D368D"/>
    <w:rsid w:val="007D3C45"/>
    <w:rsid w:val="007D4137"/>
    <w:rsid w:val="007D4CA2"/>
    <w:rsid w:val="007D7CF6"/>
    <w:rsid w:val="007E11A5"/>
    <w:rsid w:val="007E15C7"/>
    <w:rsid w:val="007E231A"/>
    <w:rsid w:val="007E2CA6"/>
    <w:rsid w:val="007E3394"/>
    <w:rsid w:val="007E3407"/>
    <w:rsid w:val="007E3A75"/>
    <w:rsid w:val="007E3D22"/>
    <w:rsid w:val="007E4315"/>
    <w:rsid w:val="007E4329"/>
    <w:rsid w:val="007E7E12"/>
    <w:rsid w:val="007F03A8"/>
    <w:rsid w:val="007F05C4"/>
    <w:rsid w:val="007F0BBA"/>
    <w:rsid w:val="007F1042"/>
    <w:rsid w:val="007F2774"/>
    <w:rsid w:val="007F5AB6"/>
    <w:rsid w:val="007F67C1"/>
    <w:rsid w:val="007F6FE4"/>
    <w:rsid w:val="007F7900"/>
    <w:rsid w:val="00803241"/>
    <w:rsid w:val="00803869"/>
    <w:rsid w:val="00804A3F"/>
    <w:rsid w:val="00805AD9"/>
    <w:rsid w:val="00811D3C"/>
    <w:rsid w:val="00811F0E"/>
    <w:rsid w:val="00812101"/>
    <w:rsid w:val="00812321"/>
    <w:rsid w:val="008129A7"/>
    <w:rsid w:val="00813844"/>
    <w:rsid w:val="0081451F"/>
    <w:rsid w:val="008152B3"/>
    <w:rsid w:val="0081555A"/>
    <w:rsid w:val="00815886"/>
    <w:rsid w:val="00817923"/>
    <w:rsid w:val="008210DD"/>
    <w:rsid w:val="00821F55"/>
    <w:rsid w:val="008236D7"/>
    <w:rsid w:val="00825345"/>
    <w:rsid w:val="00830186"/>
    <w:rsid w:val="00830541"/>
    <w:rsid w:val="00830D05"/>
    <w:rsid w:val="00831C59"/>
    <w:rsid w:val="0083225A"/>
    <w:rsid w:val="00832924"/>
    <w:rsid w:val="00835F84"/>
    <w:rsid w:val="00837597"/>
    <w:rsid w:val="0084002F"/>
    <w:rsid w:val="008405ED"/>
    <w:rsid w:val="00843272"/>
    <w:rsid w:val="0084369E"/>
    <w:rsid w:val="00843B64"/>
    <w:rsid w:val="0084461C"/>
    <w:rsid w:val="00844CF5"/>
    <w:rsid w:val="00844FDB"/>
    <w:rsid w:val="00850D34"/>
    <w:rsid w:val="0085130D"/>
    <w:rsid w:val="008521B4"/>
    <w:rsid w:val="00853398"/>
    <w:rsid w:val="00854A49"/>
    <w:rsid w:val="008571CC"/>
    <w:rsid w:val="008601B1"/>
    <w:rsid w:val="00860B7B"/>
    <w:rsid w:val="00861A00"/>
    <w:rsid w:val="00861A14"/>
    <w:rsid w:val="0086247F"/>
    <w:rsid w:val="00862B44"/>
    <w:rsid w:val="00863137"/>
    <w:rsid w:val="0086530A"/>
    <w:rsid w:val="008676A4"/>
    <w:rsid w:val="008700C5"/>
    <w:rsid w:val="00871328"/>
    <w:rsid w:val="00872729"/>
    <w:rsid w:val="00872905"/>
    <w:rsid w:val="00872D85"/>
    <w:rsid w:val="0087307E"/>
    <w:rsid w:val="00874247"/>
    <w:rsid w:val="00874781"/>
    <w:rsid w:val="008751F1"/>
    <w:rsid w:val="0087731E"/>
    <w:rsid w:val="00877D0B"/>
    <w:rsid w:val="00881A21"/>
    <w:rsid w:val="00881CCB"/>
    <w:rsid w:val="00882245"/>
    <w:rsid w:val="00882711"/>
    <w:rsid w:val="00883EF3"/>
    <w:rsid w:val="00884E55"/>
    <w:rsid w:val="0088783B"/>
    <w:rsid w:val="008902C1"/>
    <w:rsid w:val="008906D1"/>
    <w:rsid w:val="008919BD"/>
    <w:rsid w:val="00893955"/>
    <w:rsid w:val="00893ECC"/>
    <w:rsid w:val="008956FD"/>
    <w:rsid w:val="00895A01"/>
    <w:rsid w:val="00896565"/>
    <w:rsid w:val="00896750"/>
    <w:rsid w:val="008A2C1D"/>
    <w:rsid w:val="008A45F1"/>
    <w:rsid w:val="008A563A"/>
    <w:rsid w:val="008A6384"/>
    <w:rsid w:val="008A65E3"/>
    <w:rsid w:val="008A6BBE"/>
    <w:rsid w:val="008A7335"/>
    <w:rsid w:val="008A758B"/>
    <w:rsid w:val="008B17DC"/>
    <w:rsid w:val="008B2856"/>
    <w:rsid w:val="008B5DEF"/>
    <w:rsid w:val="008B669A"/>
    <w:rsid w:val="008C330B"/>
    <w:rsid w:val="008C56CD"/>
    <w:rsid w:val="008C73BF"/>
    <w:rsid w:val="008D1501"/>
    <w:rsid w:val="008D4E5B"/>
    <w:rsid w:val="008D6D5B"/>
    <w:rsid w:val="008E057A"/>
    <w:rsid w:val="008E2D7A"/>
    <w:rsid w:val="008E61D4"/>
    <w:rsid w:val="008E6284"/>
    <w:rsid w:val="008E639A"/>
    <w:rsid w:val="008E6C24"/>
    <w:rsid w:val="008E73DC"/>
    <w:rsid w:val="008F3BAF"/>
    <w:rsid w:val="008F6071"/>
    <w:rsid w:val="008F70BA"/>
    <w:rsid w:val="008F7800"/>
    <w:rsid w:val="00901101"/>
    <w:rsid w:val="0090133E"/>
    <w:rsid w:val="009030FF"/>
    <w:rsid w:val="0090362B"/>
    <w:rsid w:val="00903A91"/>
    <w:rsid w:val="009048B8"/>
    <w:rsid w:val="00907E7B"/>
    <w:rsid w:val="00910328"/>
    <w:rsid w:val="0091144B"/>
    <w:rsid w:val="009114C0"/>
    <w:rsid w:val="00911E68"/>
    <w:rsid w:val="00912CDC"/>
    <w:rsid w:val="0091339A"/>
    <w:rsid w:val="00913445"/>
    <w:rsid w:val="009201C4"/>
    <w:rsid w:val="00920CBB"/>
    <w:rsid w:val="00922A7E"/>
    <w:rsid w:val="00922E62"/>
    <w:rsid w:val="00923AC8"/>
    <w:rsid w:val="00925CB9"/>
    <w:rsid w:val="00925D1D"/>
    <w:rsid w:val="009268E7"/>
    <w:rsid w:val="009278F5"/>
    <w:rsid w:val="00927E81"/>
    <w:rsid w:val="00931155"/>
    <w:rsid w:val="00931270"/>
    <w:rsid w:val="00931704"/>
    <w:rsid w:val="0093171C"/>
    <w:rsid w:val="009318F4"/>
    <w:rsid w:val="009325BB"/>
    <w:rsid w:val="0093266B"/>
    <w:rsid w:val="0093277E"/>
    <w:rsid w:val="0093746C"/>
    <w:rsid w:val="00941393"/>
    <w:rsid w:val="00941C50"/>
    <w:rsid w:val="009427D0"/>
    <w:rsid w:val="00942DB4"/>
    <w:rsid w:val="009437A0"/>
    <w:rsid w:val="009461AD"/>
    <w:rsid w:val="0094665D"/>
    <w:rsid w:val="00950AEB"/>
    <w:rsid w:val="009528F4"/>
    <w:rsid w:val="00952AD5"/>
    <w:rsid w:val="009556DD"/>
    <w:rsid w:val="0096020B"/>
    <w:rsid w:val="009603D6"/>
    <w:rsid w:val="00961560"/>
    <w:rsid w:val="00962025"/>
    <w:rsid w:val="0096316A"/>
    <w:rsid w:val="0096363D"/>
    <w:rsid w:val="009636F1"/>
    <w:rsid w:val="009642CB"/>
    <w:rsid w:val="009655A0"/>
    <w:rsid w:val="00966695"/>
    <w:rsid w:val="00966ED9"/>
    <w:rsid w:val="00967270"/>
    <w:rsid w:val="009704E1"/>
    <w:rsid w:val="009728D4"/>
    <w:rsid w:val="00973AF8"/>
    <w:rsid w:val="00974195"/>
    <w:rsid w:val="00974697"/>
    <w:rsid w:val="00974F18"/>
    <w:rsid w:val="00974FAC"/>
    <w:rsid w:val="00982B84"/>
    <w:rsid w:val="00982C80"/>
    <w:rsid w:val="00984475"/>
    <w:rsid w:val="0098696D"/>
    <w:rsid w:val="00987142"/>
    <w:rsid w:val="00991217"/>
    <w:rsid w:val="00992151"/>
    <w:rsid w:val="00993C56"/>
    <w:rsid w:val="009976C7"/>
    <w:rsid w:val="00997B2A"/>
    <w:rsid w:val="009A02DF"/>
    <w:rsid w:val="009A05ED"/>
    <w:rsid w:val="009A08A1"/>
    <w:rsid w:val="009A1E0E"/>
    <w:rsid w:val="009A4682"/>
    <w:rsid w:val="009A6107"/>
    <w:rsid w:val="009A6ABE"/>
    <w:rsid w:val="009A6AD3"/>
    <w:rsid w:val="009B3654"/>
    <w:rsid w:val="009B3EAF"/>
    <w:rsid w:val="009B4548"/>
    <w:rsid w:val="009B4ABE"/>
    <w:rsid w:val="009B4CDC"/>
    <w:rsid w:val="009B63E3"/>
    <w:rsid w:val="009B76CC"/>
    <w:rsid w:val="009C1DE9"/>
    <w:rsid w:val="009C2784"/>
    <w:rsid w:val="009C3701"/>
    <w:rsid w:val="009C6FE0"/>
    <w:rsid w:val="009D0A9E"/>
    <w:rsid w:val="009D1D02"/>
    <w:rsid w:val="009D2F95"/>
    <w:rsid w:val="009D3B55"/>
    <w:rsid w:val="009D50F8"/>
    <w:rsid w:val="009D64D6"/>
    <w:rsid w:val="009E0183"/>
    <w:rsid w:val="009E047E"/>
    <w:rsid w:val="009E1BAD"/>
    <w:rsid w:val="009E707F"/>
    <w:rsid w:val="009E7628"/>
    <w:rsid w:val="009F07C8"/>
    <w:rsid w:val="00A012DF"/>
    <w:rsid w:val="00A02C44"/>
    <w:rsid w:val="00A03261"/>
    <w:rsid w:val="00A043D9"/>
    <w:rsid w:val="00A05195"/>
    <w:rsid w:val="00A05E1A"/>
    <w:rsid w:val="00A06877"/>
    <w:rsid w:val="00A06ED6"/>
    <w:rsid w:val="00A13B61"/>
    <w:rsid w:val="00A15903"/>
    <w:rsid w:val="00A15BFE"/>
    <w:rsid w:val="00A15F0F"/>
    <w:rsid w:val="00A15FC6"/>
    <w:rsid w:val="00A17141"/>
    <w:rsid w:val="00A1718E"/>
    <w:rsid w:val="00A17BF7"/>
    <w:rsid w:val="00A17DBA"/>
    <w:rsid w:val="00A20D9F"/>
    <w:rsid w:val="00A22D55"/>
    <w:rsid w:val="00A23ACB"/>
    <w:rsid w:val="00A249C8"/>
    <w:rsid w:val="00A25EE8"/>
    <w:rsid w:val="00A2691F"/>
    <w:rsid w:val="00A27658"/>
    <w:rsid w:val="00A30333"/>
    <w:rsid w:val="00A3144E"/>
    <w:rsid w:val="00A32570"/>
    <w:rsid w:val="00A32DDF"/>
    <w:rsid w:val="00A33962"/>
    <w:rsid w:val="00A34665"/>
    <w:rsid w:val="00A34972"/>
    <w:rsid w:val="00A34E84"/>
    <w:rsid w:val="00A359CD"/>
    <w:rsid w:val="00A36195"/>
    <w:rsid w:val="00A40388"/>
    <w:rsid w:val="00A42E91"/>
    <w:rsid w:val="00A43404"/>
    <w:rsid w:val="00A44511"/>
    <w:rsid w:val="00A454A7"/>
    <w:rsid w:val="00A46B8D"/>
    <w:rsid w:val="00A51C57"/>
    <w:rsid w:val="00A535D3"/>
    <w:rsid w:val="00A554C9"/>
    <w:rsid w:val="00A554D4"/>
    <w:rsid w:val="00A606B4"/>
    <w:rsid w:val="00A6117B"/>
    <w:rsid w:val="00A6190B"/>
    <w:rsid w:val="00A63AA4"/>
    <w:rsid w:val="00A64027"/>
    <w:rsid w:val="00A6473F"/>
    <w:rsid w:val="00A658FA"/>
    <w:rsid w:val="00A664CC"/>
    <w:rsid w:val="00A67975"/>
    <w:rsid w:val="00A7093C"/>
    <w:rsid w:val="00A748EF"/>
    <w:rsid w:val="00A74EDC"/>
    <w:rsid w:val="00A751CD"/>
    <w:rsid w:val="00A75B6B"/>
    <w:rsid w:val="00A75DFA"/>
    <w:rsid w:val="00A770C2"/>
    <w:rsid w:val="00A81023"/>
    <w:rsid w:val="00A86376"/>
    <w:rsid w:val="00A87E43"/>
    <w:rsid w:val="00A90C79"/>
    <w:rsid w:val="00A92B64"/>
    <w:rsid w:val="00A95B5C"/>
    <w:rsid w:val="00A969E8"/>
    <w:rsid w:val="00A97367"/>
    <w:rsid w:val="00AA011C"/>
    <w:rsid w:val="00AA0428"/>
    <w:rsid w:val="00AA06D9"/>
    <w:rsid w:val="00AA1AF4"/>
    <w:rsid w:val="00AA32DB"/>
    <w:rsid w:val="00AA5256"/>
    <w:rsid w:val="00AA59D6"/>
    <w:rsid w:val="00AA7F4B"/>
    <w:rsid w:val="00AB04D5"/>
    <w:rsid w:val="00AB3BCA"/>
    <w:rsid w:val="00AB5914"/>
    <w:rsid w:val="00AB7760"/>
    <w:rsid w:val="00AB7F33"/>
    <w:rsid w:val="00AC0DD0"/>
    <w:rsid w:val="00AC1A54"/>
    <w:rsid w:val="00AC71B5"/>
    <w:rsid w:val="00AD0103"/>
    <w:rsid w:val="00AD0208"/>
    <w:rsid w:val="00AD0BA5"/>
    <w:rsid w:val="00AD1389"/>
    <w:rsid w:val="00AD36C2"/>
    <w:rsid w:val="00AD4D81"/>
    <w:rsid w:val="00AD50C4"/>
    <w:rsid w:val="00AD5337"/>
    <w:rsid w:val="00AD7016"/>
    <w:rsid w:val="00AE0F59"/>
    <w:rsid w:val="00AE256C"/>
    <w:rsid w:val="00AE4865"/>
    <w:rsid w:val="00AE493B"/>
    <w:rsid w:val="00AE4E2B"/>
    <w:rsid w:val="00AE706E"/>
    <w:rsid w:val="00AE7FF4"/>
    <w:rsid w:val="00AF0786"/>
    <w:rsid w:val="00AF1592"/>
    <w:rsid w:val="00AF21A3"/>
    <w:rsid w:val="00AF32C1"/>
    <w:rsid w:val="00AF6C42"/>
    <w:rsid w:val="00AF7532"/>
    <w:rsid w:val="00AF769A"/>
    <w:rsid w:val="00B00481"/>
    <w:rsid w:val="00B008A1"/>
    <w:rsid w:val="00B00BBD"/>
    <w:rsid w:val="00B02B14"/>
    <w:rsid w:val="00B02BDA"/>
    <w:rsid w:val="00B03ADA"/>
    <w:rsid w:val="00B05F52"/>
    <w:rsid w:val="00B06EA3"/>
    <w:rsid w:val="00B1252F"/>
    <w:rsid w:val="00B14E74"/>
    <w:rsid w:val="00B15040"/>
    <w:rsid w:val="00B172D0"/>
    <w:rsid w:val="00B17C20"/>
    <w:rsid w:val="00B17D6D"/>
    <w:rsid w:val="00B17E2B"/>
    <w:rsid w:val="00B17E7E"/>
    <w:rsid w:val="00B2001D"/>
    <w:rsid w:val="00B22245"/>
    <w:rsid w:val="00B23178"/>
    <w:rsid w:val="00B241A2"/>
    <w:rsid w:val="00B241EA"/>
    <w:rsid w:val="00B27D30"/>
    <w:rsid w:val="00B30CCF"/>
    <w:rsid w:val="00B32836"/>
    <w:rsid w:val="00B328C2"/>
    <w:rsid w:val="00B3341F"/>
    <w:rsid w:val="00B339E3"/>
    <w:rsid w:val="00B3435F"/>
    <w:rsid w:val="00B348EE"/>
    <w:rsid w:val="00B3613C"/>
    <w:rsid w:val="00B431EC"/>
    <w:rsid w:val="00B43CEA"/>
    <w:rsid w:val="00B447AE"/>
    <w:rsid w:val="00B46B7F"/>
    <w:rsid w:val="00B46E08"/>
    <w:rsid w:val="00B46E96"/>
    <w:rsid w:val="00B47F5E"/>
    <w:rsid w:val="00B47F70"/>
    <w:rsid w:val="00B527A7"/>
    <w:rsid w:val="00B605CA"/>
    <w:rsid w:val="00B61C6B"/>
    <w:rsid w:val="00B622AA"/>
    <w:rsid w:val="00B625F1"/>
    <w:rsid w:val="00B6261E"/>
    <w:rsid w:val="00B62A2E"/>
    <w:rsid w:val="00B633BA"/>
    <w:rsid w:val="00B64DAF"/>
    <w:rsid w:val="00B66A42"/>
    <w:rsid w:val="00B66CB3"/>
    <w:rsid w:val="00B73960"/>
    <w:rsid w:val="00B749BB"/>
    <w:rsid w:val="00B7541B"/>
    <w:rsid w:val="00B7585C"/>
    <w:rsid w:val="00B76C14"/>
    <w:rsid w:val="00B77BBC"/>
    <w:rsid w:val="00B800B8"/>
    <w:rsid w:val="00B819F2"/>
    <w:rsid w:val="00B81B1F"/>
    <w:rsid w:val="00B82BFE"/>
    <w:rsid w:val="00B84026"/>
    <w:rsid w:val="00B84E2C"/>
    <w:rsid w:val="00B84E56"/>
    <w:rsid w:val="00B8537B"/>
    <w:rsid w:val="00B85631"/>
    <w:rsid w:val="00B91B9D"/>
    <w:rsid w:val="00B92903"/>
    <w:rsid w:val="00B929F9"/>
    <w:rsid w:val="00B92F38"/>
    <w:rsid w:val="00B94A46"/>
    <w:rsid w:val="00B9636C"/>
    <w:rsid w:val="00BA29A5"/>
    <w:rsid w:val="00BA37EB"/>
    <w:rsid w:val="00BA479A"/>
    <w:rsid w:val="00BA57FF"/>
    <w:rsid w:val="00BA79B5"/>
    <w:rsid w:val="00BB00A7"/>
    <w:rsid w:val="00BB11AC"/>
    <w:rsid w:val="00BB1F29"/>
    <w:rsid w:val="00BB3882"/>
    <w:rsid w:val="00BB42AF"/>
    <w:rsid w:val="00BB476B"/>
    <w:rsid w:val="00BB5D12"/>
    <w:rsid w:val="00BB6169"/>
    <w:rsid w:val="00BB6AAD"/>
    <w:rsid w:val="00BC19E5"/>
    <w:rsid w:val="00BC1BEE"/>
    <w:rsid w:val="00BC4E0E"/>
    <w:rsid w:val="00BC526D"/>
    <w:rsid w:val="00BC6465"/>
    <w:rsid w:val="00BC730D"/>
    <w:rsid w:val="00BD3630"/>
    <w:rsid w:val="00BD36A7"/>
    <w:rsid w:val="00BD481B"/>
    <w:rsid w:val="00BD4BFD"/>
    <w:rsid w:val="00BD4DB1"/>
    <w:rsid w:val="00BD51B2"/>
    <w:rsid w:val="00BD5814"/>
    <w:rsid w:val="00BE088C"/>
    <w:rsid w:val="00BE20C5"/>
    <w:rsid w:val="00BE28C1"/>
    <w:rsid w:val="00BE525B"/>
    <w:rsid w:val="00BE5EF5"/>
    <w:rsid w:val="00BE62D4"/>
    <w:rsid w:val="00BE6388"/>
    <w:rsid w:val="00BE6BCE"/>
    <w:rsid w:val="00BE71B9"/>
    <w:rsid w:val="00BF01F0"/>
    <w:rsid w:val="00BF1093"/>
    <w:rsid w:val="00BF226C"/>
    <w:rsid w:val="00BF5259"/>
    <w:rsid w:val="00BF5C7B"/>
    <w:rsid w:val="00BF6EE2"/>
    <w:rsid w:val="00C01602"/>
    <w:rsid w:val="00C0249B"/>
    <w:rsid w:val="00C0370A"/>
    <w:rsid w:val="00C03CD9"/>
    <w:rsid w:val="00C04770"/>
    <w:rsid w:val="00C051CC"/>
    <w:rsid w:val="00C05940"/>
    <w:rsid w:val="00C07435"/>
    <w:rsid w:val="00C07EB7"/>
    <w:rsid w:val="00C1186B"/>
    <w:rsid w:val="00C13271"/>
    <w:rsid w:val="00C172AC"/>
    <w:rsid w:val="00C176D1"/>
    <w:rsid w:val="00C20691"/>
    <w:rsid w:val="00C229AF"/>
    <w:rsid w:val="00C2315E"/>
    <w:rsid w:val="00C23D43"/>
    <w:rsid w:val="00C247C3"/>
    <w:rsid w:val="00C24900"/>
    <w:rsid w:val="00C25096"/>
    <w:rsid w:val="00C26389"/>
    <w:rsid w:val="00C26B86"/>
    <w:rsid w:val="00C30551"/>
    <w:rsid w:val="00C33681"/>
    <w:rsid w:val="00C3467C"/>
    <w:rsid w:val="00C3518E"/>
    <w:rsid w:val="00C35E4F"/>
    <w:rsid w:val="00C36D94"/>
    <w:rsid w:val="00C415CF"/>
    <w:rsid w:val="00C42A56"/>
    <w:rsid w:val="00C42EE0"/>
    <w:rsid w:val="00C435F7"/>
    <w:rsid w:val="00C4622F"/>
    <w:rsid w:val="00C475B4"/>
    <w:rsid w:val="00C47DFE"/>
    <w:rsid w:val="00C540E9"/>
    <w:rsid w:val="00C542B3"/>
    <w:rsid w:val="00C554A2"/>
    <w:rsid w:val="00C56705"/>
    <w:rsid w:val="00C576F2"/>
    <w:rsid w:val="00C606CA"/>
    <w:rsid w:val="00C608E7"/>
    <w:rsid w:val="00C61C78"/>
    <w:rsid w:val="00C62068"/>
    <w:rsid w:val="00C620E4"/>
    <w:rsid w:val="00C643EB"/>
    <w:rsid w:val="00C64B4B"/>
    <w:rsid w:val="00C65007"/>
    <w:rsid w:val="00C65467"/>
    <w:rsid w:val="00C655A1"/>
    <w:rsid w:val="00C6691F"/>
    <w:rsid w:val="00C66FF0"/>
    <w:rsid w:val="00C67A20"/>
    <w:rsid w:val="00C70451"/>
    <w:rsid w:val="00C70997"/>
    <w:rsid w:val="00C70E73"/>
    <w:rsid w:val="00C719CA"/>
    <w:rsid w:val="00C7381D"/>
    <w:rsid w:val="00C73C3E"/>
    <w:rsid w:val="00C73F6E"/>
    <w:rsid w:val="00C74457"/>
    <w:rsid w:val="00C74A73"/>
    <w:rsid w:val="00C74DCA"/>
    <w:rsid w:val="00C76DFD"/>
    <w:rsid w:val="00C80E4A"/>
    <w:rsid w:val="00C816A2"/>
    <w:rsid w:val="00C82380"/>
    <w:rsid w:val="00C83550"/>
    <w:rsid w:val="00C85205"/>
    <w:rsid w:val="00C8596C"/>
    <w:rsid w:val="00C85A74"/>
    <w:rsid w:val="00C87502"/>
    <w:rsid w:val="00C87EA7"/>
    <w:rsid w:val="00C91277"/>
    <w:rsid w:val="00C9145F"/>
    <w:rsid w:val="00C9159D"/>
    <w:rsid w:val="00C91AAF"/>
    <w:rsid w:val="00C95670"/>
    <w:rsid w:val="00C95814"/>
    <w:rsid w:val="00C95C35"/>
    <w:rsid w:val="00C96F18"/>
    <w:rsid w:val="00CA1AC2"/>
    <w:rsid w:val="00CA1F9C"/>
    <w:rsid w:val="00CA65BB"/>
    <w:rsid w:val="00CA7397"/>
    <w:rsid w:val="00CA75F6"/>
    <w:rsid w:val="00CB1554"/>
    <w:rsid w:val="00CB2177"/>
    <w:rsid w:val="00CB3788"/>
    <w:rsid w:val="00CB4593"/>
    <w:rsid w:val="00CB7EA5"/>
    <w:rsid w:val="00CC08BF"/>
    <w:rsid w:val="00CC08C6"/>
    <w:rsid w:val="00CC0AB3"/>
    <w:rsid w:val="00CC0E97"/>
    <w:rsid w:val="00CC12D0"/>
    <w:rsid w:val="00CC1718"/>
    <w:rsid w:val="00CC19E2"/>
    <w:rsid w:val="00CC30C1"/>
    <w:rsid w:val="00CC3217"/>
    <w:rsid w:val="00CC39C4"/>
    <w:rsid w:val="00CC3C20"/>
    <w:rsid w:val="00CC48B6"/>
    <w:rsid w:val="00CC662B"/>
    <w:rsid w:val="00CC70DC"/>
    <w:rsid w:val="00CD1578"/>
    <w:rsid w:val="00CD374F"/>
    <w:rsid w:val="00CD3B67"/>
    <w:rsid w:val="00CD4B50"/>
    <w:rsid w:val="00CD4EB5"/>
    <w:rsid w:val="00CD526E"/>
    <w:rsid w:val="00CD57E5"/>
    <w:rsid w:val="00CD661A"/>
    <w:rsid w:val="00CD7676"/>
    <w:rsid w:val="00CD77E7"/>
    <w:rsid w:val="00CD7859"/>
    <w:rsid w:val="00CE0743"/>
    <w:rsid w:val="00CE1CD1"/>
    <w:rsid w:val="00CE1FA6"/>
    <w:rsid w:val="00CE26D2"/>
    <w:rsid w:val="00CE356E"/>
    <w:rsid w:val="00CE38DF"/>
    <w:rsid w:val="00CE47B4"/>
    <w:rsid w:val="00CE54DB"/>
    <w:rsid w:val="00CE5FB2"/>
    <w:rsid w:val="00CE6EF6"/>
    <w:rsid w:val="00CF1C8D"/>
    <w:rsid w:val="00CF3FAD"/>
    <w:rsid w:val="00CF5268"/>
    <w:rsid w:val="00CF75A5"/>
    <w:rsid w:val="00D039DD"/>
    <w:rsid w:val="00D03A03"/>
    <w:rsid w:val="00D03CDB"/>
    <w:rsid w:val="00D0418F"/>
    <w:rsid w:val="00D05F32"/>
    <w:rsid w:val="00D07C57"/>
    <w:rsid w:val="00D108FE"/>
    <w:rsid w:val="00D12EDD"/>
    <w:rsid w:val="00D13833"/>
    <w:rsid w:val="00D1485F"/>
    <w:rsid w:val="00D14B46"/>
    <w:rsid w:val="00D17038"/>
    <w:rsid w:val="00D17F71"/>
    <w:rsid w:val="00D232DC"/>
    <w:rsid w:val="00D236B1"/>
    <w:rsid w:val="00D23922"/>
    <w:rsid w:val="00D23D77"/>
    <w:rsid w:val="00D2431C"/>
    <w:rsid w:val="00D2579F"/>
    <w:rsid w:val="00D266B6"/>
    <w:rsid w:val="00D26963"/>
    <w:rsid w:val="00D3059D"/>
    <w:rsid w:val="00D3177D"/>
    <w:rsid w:val="00D344CF"/>
    <w:rsid w:val="00D348B0"/>
    <w:rsid w:val="00D41967"/>
    <w:rsid w:val="00D41B06"/>
    <w:rsid w:val="00D445B9"/>
    <w:rsid w:val="00D45013"/>
    <w:rsid w:val="00D46F08"/>
    <w:rsid w:val="00D472B0"/>
    <w:rsid w:val="00D47AD0"/>
    <w:rsid w:val="00D500FD"/>
    <w:rsid w:val="00D50A97"/>
    <w:rsid w:val="00D527AF"/>
    <w:rsid w:val="00D53B6F"/>
    <w:rsid w:val="00D54409"/>
    <w:rsid w:val="00D5565E"/>
    <w:rsid w:val="00D56274"/>
    <w:rsid w:val="00D56ED4"/>
    <w:rsid w:val="00D61A1D"/>
    <w:rsid w:val="00D6234B"/>
    <w:rsid w:val="00D627C2"/>
    <w:rsid w:val="00D64B58"/>
    <w:rsid w:val="00D6553C"/>
    <w:rsid w:val="00D65F76"/>
    <w:rsid w:val="00D66527"/>
    <w:rsid w:val="00D6655F"/>
    <w:rsid w:val="00D67DE6"/>
    <w:rsid w:val="00D702A2"/>
    <w:rsid w:val="00D702B4"/>
    <w:rsid w:val="00D71901"/>
    <w:rsid w:val="00D71A89"/>
    <w:rsid w:val="00D72E1C"/>
    <w:rsid w:val="00D741D5"/>
    <w:rsid w:val="00D7423C"/>
    <w:rsid w:val="00D74EFE"/>
    <w:rsid w:val="00D7564A"/>
    <w:rsid w:val="00D768B7"/>
    <w:rsid w:val="00D77335"/>
    <w:rsid w:val="00D7769E"/>
    <w:rsid w:val="00D77886"/>
    <w:rsid w:val="00D77B72"/>
    <w:rsid w:val="00D8014B"/>
    <w:rsid w:val="00D80543"/>
    <w:rsid w:val="00D81245"/>
    <w:rsid w:val="00D81D27"/>
    <w:rsid w:val="00D82909"/>
    <w:rsid w:val="00D82AF6"/>
    <w:rsid w:val="00D8333A"/>
    <w:rsid w:val="00D833B3"/>
    <w:rsid w:val="00D83CC3"/>
    <w:rsid w:val="00D843EE"/>
    <w:rsid w:val="00D84854"/>
    <w:rsid w:val="00D8585B"/>
    <w:rsid w:val="00D86414"/>
    <w:rsid w:val="00D90A19"/>
    <w:rsid w:val="00D9340C"/>
    <w:rsid w:val="00D94A88"/>
    <w:rsid w:val="00D9558D"/>
    <w:rsid w:val="00DA29F5"/>
    <w:rsid w:val="00DA2FA3"/>
    <w:rsid w:val="00DA3323"/>
    <w:rsid w:val="00DA567F"/>
    <w:rsid w:val="00DA5F0A"/>
    <w:rsid w:val="00DA6770"/>
    <w:rsid w:val="00DA6F82"/>
    <w:rsid w:val="00DA7819"/>
    <w:rsid w:val="00DA7BF9"/>
    <w:rsid w:val="00DB112B"/>
    <w:rsid w:val="00DB1201"/>
    <w:rsid w:val="00DB236F"/>
    <w:rsid w:val="00DB3844"/>
    <w:rsid w:val="00DB55FC"/>
    <w:rsid w:val="00DB5C4D"/>
    <w:rsid w:val="00DB63D1"/>
    <w:rsid w:val="00DB7DBD"/>
    <w:rsid w:val="00DC1475"/>
    <w:rsid w:val="00DC2181"/>
    <w:rsid w:val="00DC2CC2"/>
    <w:rsid w:val="00DC7492"/>
    <w:rsid w:val="00DD0D57"/>
    <w:rsid w:val="00DD0EA3"/>
    <w:rsid w:val="00DD1F9E"/>
    <w:rsid w:val="00DD40C9"/>
    <w:rsid w:val="00DD41C3"/>
    <w:rsid w:val="00DD4446"/>
    <w:rsid w:val="00DD56C1"/>
    <w:rsid w:val="00DD71B2"/>
    <w:rsid w:val="00DD74E9"/>
    <w:rsid w:val="00DD7D2C"/>
    <w:rsid w:val="00DD7E42"/>
    <w:rsid w:val="00DE03AD"/>
    <w:rsid w:val="00DE05EF"/>
    <w:rsid w:val="00DE11CE"/>
    <w:rsid w:val="00DE1580"/>
    <w:rsid w:val="00DE1A09"/>
    <w:rsid w:val="00DE5341"/>
    <w:rsid w:val="00DE646F"/>
    <w:rsid w:val="00DE6EC8"/>
    <w:rsid w:val="00DE78B4"/>
    <w:rsid w:val="00DF06C1"/>
    <w:rsid w:val="00DF0D71"/>
    <w:rsid w:val="00DF2565"/>
    <w:rsid w:val="00DF25C3"/>
    <w:rsid w:val="00E00F6A"/>
    <w:rsid w:val="00E02190"/>
    <w:rsid w:val="00E056AA"/>
    <w:rsid w:val="00E07427"/>
    <w:rsid w:val="00E0759E"/>
    <w:rsid w:val="00E107C3"/>
    <w:rsid w:val="00E11BA4"/>
    <w:rsid w:val="00E125DC"/>
    <w:rsid w:val="00E133FD"/>
    <w:rsid w:val="00E13CEC"/>
    <w:rsid w:val="00E1465E"/>
    <w:rsid w:val="00E1488A"/>
    <w:rsid w:val="00E15853"/>
    <w:rsid w:val="00E15EA8"/>
    <w:rsid w:val="00E165D1"/>
    <w:rsid w:val="00E20A92"/>
    <w:rsid w:val="00E21345"/>
    <w:rsid w:val="00E2289C"/>
    <w:rsid w:val="00E23CBA"/>
    <w:rsid w:val="00E24F0C"/>
    <w:rsid w:val="00E25AE3"/>
    <w:rsid w:val="00E25F80"/>
    <w:rsid w:val="00E264FF"/>
    <w:rsid w:val="00E27B76"/>
    <w:rsid w:val="00E27E7B"/>
    <w:rsid w:val="00E30AB5"/>
    <w:rsid w:val="00E32733"/>
    <w:rsid w:val="00E330BE"/>
    <w:rsid w:val="00E36BBD"/>
    <w:rsid w:val="00E36BC3"/>
    <w:rsid w:val="00E37109"/>
    <w:rsid w:val="00E414E2"/>
    <w:rsid w:val="00E419CC"/>
    <w:rsid w:val="00E42833"/>
    <w:rsid w:val="00E447ED"/>
    <w:rsid w:val="00E463BF"/>
    <w:rsid w:val="00E47304"/>
    <w:rsid w:val="00E47F95"/>
    <w:rsid w:val="00E501D2"/>
    <w:rsid w:val="00E50289"/>
    <w:rsid w:val="00E52B28"/>
    <w:rsid w:val="00E53F62"/>
    <w:rsid w:val="00E54840"/>
    <w:rsid w:val="00E572D2"/>
    <w:rsid w:val="00E57B27"/>
    <w:rsid w:val="00E60F17"/>
    <w:rsid w:val="00E657A6"/>
    <w:rsid w:val="00E65917"/>
    <w:rsid w:val="00E65D64"/>
    <w:rsid w:val="00E70C49"/>
    <w:rsid w:val="00E71345"/>
    <w:rsid w:val="00E71837"/>
    <w:rsid w:val="00E7491B"/>
    <w:rsid w:val="00E74E98"/>
    <w:rsid w:val="00E75C2E"/>
    <w:rsid w:val="00E761B7"/>
    <w:rsid w:val="00E76E04"/>
    <w:rsid w:val="00E77BCF"/>
    <w:rsid w:val="00E81083"/>
    <w:rsid w:val="00E83A3C"/>
    <w:rsid w:val="00E84560"/>
    <w:rsid w:val="00E90DC4"/>
    <w:rsid w:val="00E920C3"/>
    <w:rsid w:val="00E92860"/>
    <w:rsid w:val="00E937A3"/>
    <w:rsid w:val="00E9390F"/>
    <w:rsid w:val="00E95929"/>
    <w:rsid w:val="00E96727"/>
    <w:rsid w:val="00E9776D"/>
    <w:rsid w:val="00E97FE5"/>
    <w:rsid w:val="00EA29F7"/>
    <w:rsid w:val="00EA2C7A"/>
    <w:rsid w:val="00EA315E"/>
    <w:rsid w:val="00EA3A4A"/>
    <w:rsid w:val="00EA4945"/>
    <w:rsid w:val="00EA56C5"/>
    <w:rsid w:val="00EB0882"/>
    <w:rsid w:val="00EB0962"/>
    <w:rsid w:val="00EB16BB"/>
    <w:rsid w:val="00EB2995"/>
    <w:rsid w:val="00EB4A3E"/>
    <w:rsid w:val="00EB5783"/>
    <w:rsid w:val="00EB5CFF"/>
    <w:rsid w:val="00EB63CD"/>
    <w:rsid w:val="00EB7FD0"/>
    <w:rsid w:val="00EC0C4F"/>
    <w:rsid w:val="00EC149F"/>
    <w:rsid w:val="00EC4740"/>
    <w:rsid w:val="00EC4C02"/>
    <w:rsid w:val="00EC784B"/>
    <w:rsid w:val="00EC7926"/>
    <w:rsid w:val="00ED32F6"/>
    <w:rsid w:val="00ED4028"/>
    <w:rsid w:val="00ED43CA"/>
    <w:rsid w:val="00ED5F0C"/>
    <w:rsid w:val="00ED70BC"/>
    <w:rsid w:val="00ED7D89"/>
    <w:rsid w:val="00EE0510"/>
    <w:rsid w:val="00EE220E"/>
    <w:rsid w:val="00EE27E2"/>
    <w:rsid w:val="00EE4149"/>
    <w:rsid w:val="00EE68F0"/>
    <w:rsid w:val="00EE70AD"/>
    <w:rsid w:val="00EF1D9F"/>
    <w:rsid w:val="00EF2DBD"/>
    <w:rsid w:val="00EF3050"/>
    <w:rsid w:val="00EF3170"/>
    <w:rsid w:val="00EF3615"/>
    <w:rsid w:val="00EF3BF4"/>
    <w:rsid w:val="00EF4F7B"/>
    <w:rsid w:val="00EF554E"/>
    <w:rsid w:val="00EF681B"/>
    <w:rsid w:val="00EF6F73"/>
    <w:rsid w:val="00EF73EE"/>
    <w:rsid w:val="00EF77D4"/>
    <w:rsid w:val="00F00044"/>
    <w:rsid w:val="00F00CC8"/>
    <w:rsid w:val="00F02ECD"/>
    <w:rsid w:val="00F037CD"/>
    <w:rsid w:val="00F03D2F"/>
    <w:rsid w:val="00F06985"/>
    <w:rsid w:val="00F06BBE"/>
    <w:rsid w:val="00F1051D"/>
    <w:rsid w:val="00F127E3"/>
    <w:rsid w:val="00F1388C"/>
    <w:rsid w:val="00F1546E"/>
    <w:rsid w:val="00F1646C"/>
    <w:rsid w:val="00F164A4"/>
    <w:rsid w:val="00F20470"/>
    <w:rsid w:val="00F206D8"/>
    <w:rsid w:val="00F20F9A"/>
    <w:rsid w:val="00F2130F"/>
    <w:rsid w:val="00F22A31"/>
    <w:rsid w:val="00F22B02"/>
    <w:rsid w:val="00F22EFC"/>
    <w:rsid w:val="00F244B9"/>
    <w:rsid w:val="00F25444"/>
    <w:rsid w:val="00F25A50"/>
    <w:rsid w:val="00F25AFD"/>
    <w:rsid w:val="00F27EAB"/>
    <w:rsid w:val="00F31026"/>
    <w:rsid w:val="00F326C7"/>
    <w:rsid w:val="00F34BCA"/>
    <w:rsid w:val="00F356DF"/>
    <w:rsid w:val="00F367A6"/>
    <w:rsid w:val="00F36F67"/>
    <w:rsid w:val="00F373B6"/>
    <w:rsid w:val="00F37871"/>
    <w:rsid w:val="00F41E4A"/>
    <w:rsid w:val="00F421DD"/>
    <w:rsid w:val="00F42220"/>
    <w:rsid w:val="00F42C66"/>
    <w:rsid w:val="00F42D8E"/>
    <w:rsid w:val="00F47F09"/>
    <w:rsid w:val="00F504E6"/>
    <w:rsid w:val="00F51952"/>
    <w:rsid w:val="00F51B3B"/>
    <w:rsid w:val="00F52D68"/>
    <w:rsid w:val="00F54172"/>
    <w:rsid w:val="00F54C32"/>
    <w:rsid w:val="00F552B6"/>
    <w:rsid w:val="00F559D2"/>
    <w:rsid w:val="00F55BD1"/>
    <w:rsid w:val="00F57BE6"/>
    <w:rsid w:val="00F60975"/>
    <w:rsid w:val="00F612CB"/>
    <w:rsid w:val="00F614B7"/>
    <w:rsid w:val="00F61EEE"/>
    <w:rsid w:val="00F627A7"/>
    <w:rsid w:val="00F640B4"/>
    <w:rsid w:val="00F6434F"/>
    <w:rsid w:val="00F65F4D"/>
    <w:rsid w:val="00F6626C"/>
    <w:rsid w:val="00F745A4"/>
    <w:rsid w:val="00F75BCB"/>
    <w:rsid w:val="00F7663C"/>
    <w:rsid w:val="00F8014D"/>
    <w:rsid w:val="00F846BC"/>
    <w:rsid w:val="00F905CC"/>
    <w:rsid w:val="00F90D11"/>
    <w:rsid w:val="00F91E22"/>
    <w:rsid w:val="00F93570"/>
    <w:rsid w:val="00F9435A"/>
    <w:rsid w:val="00F949D8"/>
    <w:rsid w:val="00F94CEC"/>
    <w:rsid w:val="00F967B9"/>
    <w:rsid w:val="00FA0328"/>
    <w:rsid w:val="00FA0909"/>
    <w:rsid w:val="00FA1436"/>
    <w:rsid w:val="00FA161B"/>
    <w:rsid w:val="00FA1CB7"/>
    <w:rsid w:val="00FA1E14"/>
    <w:rsid w:val="00FA2C5C"/>
    <w:rsid w:val="00FA4B07"/>
    <w:rsid w:val="00FB0129"/>
    <w:rsid w:val="00FB082A"/>
    <w:rsid w:val="00FB0C89"/>
    <w:rsid w:val="00FB36CF"/>
    <w:rsid w:val="00FB3725"/>
    <w:rsid w:val="00FB3E88"/>
    <w:rsid w:val="00FB49CA"/>
    <w:rsid w:val="00FB584F"/>
    <w:rsid w:val="00FB6A4D"/>
    <w:rsid w:val="00FB788D"/>
    <w:rsid w:val="00FC0101"/>
    <w:rsid w:val="00FC064C"/>
    <w:rsid w:val="00FC0B26"/>
    <w:rsid w:val="00FC0E8B"/>
    <w:rsid w:val="00FC144F"/>
    <w:rsid w:val="00FC39D8"/>
    <w:rsid w:val="00FC4E3B"/>
    <w:rsid w:val="00FC63A8"/>
    <w:rsid w:val="00FC6E70"/>
    <w:rsid w:val="00FC7617"/>
    <w:rsid w:val="00FC7A63"/>
    <w:rsid w:val="00FC7D57"/>
    <w:rsid w:val="00FD0AE8"/>
    <w:rsid w:val="00FD0C9E"/>
    <w:rsid w:val="00FD0DC9"/>
    <w:rsid w:val="00FD0F3E"/>
    <w:rsid w:val="00FD2A7B"/>
    <w:rsid w:val="00FD58E9"/>
    <w:rsid w:val="00FD647D"/>
    <w:rsid w:val="00FD6A30"/>
    <w:rsid w:val="00FD6EED"/>
    <w:rsid w:val="00FD7292"/>
    <w:rsid w:val="00FD7414"/>
    <w:rsid w:val="00FD7726"/>
    <w:rsid w:val="00FE0295"/>
    <w:rsid w:val="00FE0369"/>
    <w:rsid w:val="00FE1C1B"/>
    <w:rsid w:val="00FE25D0"/>
    <w:rsid w:val="00FE347E"/>
    <w:rsid w:val="00FE52B3"/>
    <w:rsid w:val="00FE76BA"/>
    <w:rsid w:val="00FF1D6C"/>
    <w:rsid w:val="00FF2F55"/>
    <w:rsid w:val="00FF5B95"/>
    <w:rsid w:val="00FF5F24"/>
    <w:rsid w:val="00FF62DF"/>
    <w:rsid w:val="01104747"/>
    <w:rsid w:val="01EC8750"/>
    <w:rsid w:val="0568FF57"/>
    <w:rsid w:val="05FDE48A"/>
    <w:rsid w:val="0630257E"/>
    <w:rsid w:val="0721C6AF"/>
    <w:rsid w:val="0CFC6D64"/>
    <w:rsid w:val="0D040C24"/>
    <w:rsid w:val="0E7C444C"/>
    <w:rsid w:val="0F97161A"/>
    <w:rsid w:val="10A0725C"/>
    <w:rsid w:val="10FAFEDB"/>
    <w:rsid w:val="11AC5B17"/>
    <w:rsid w:val="13188779"/>
    <w:rsid w:val="14225022"/>
    <w:rsid w:val="15652EB3"/>
    <w:rsid w:val="158E1EA0"/>
    <w:rsid w:val="15FD516C"/>
    <w:rsid w:val="17C39C73"/>
    <w:rsid w:val="183DA0D5"/>
    <w:rsid w:val="186BC8D2"/>
    <w:rsid w:val="18801BAD"/>
    <w:rsid w:val="1A131898"/>
    <w:rsid w:val="1A9F63F4"/>
    <w:rsid w:val="1AE2EB5A"/>
    <w:rsid w:val="1C2F5B63"/>
    <w:rsid w:val="1EDD49D5"/>
    <w:rsid w:val="202FFCB7"/>
    <w:rsid w:val="219240E0"/>
    <w:rsid w:val="22D19E25"/>
    <w:rsid w:val="23085CDD"/>
    <w:rsid w:val="24004E60"/>
    <w:rsid w:val="24352481"/>
    <w:rsid w:val="24EE2BCA"/>
    <w:rsid w:val="25FC5528"/>
    <w:rsid w:val="2627E784"/>
    <w:rsid w:val="26E0FC95"/>
    <w:rsid w:val="270F92FE"/>
    <w:rsid w:val="2783E0C9"/>
    <w:rsid w:val="278EFA6A"/>
    <w:rsid w:val="27EAF1F8"/>
    <w:rsid w:val="27F1A4C8"/>
    <w:rsid w:val="290F76BE"/>
    <w:rsid w:val="29CCD62F"/>
    <w:rsid w:val="2AF2D79D"/>
    <w:rsid w:val="2E0C971C"/>
    <w:rsid w:val="2F0E6EAA"/>
    <w:rsid w:val="2F415A4B"/>
    <w:rsid w:val="300537C3"/>
    <w:rsid w:val="325172E9"/>
    <w:rsid w:val="32ECD1DA"/>
    <w:rsid w:val="33087DA4"/>
    <w:rsid w:val="340D3820"/>
    <w:rsid w:val="347D6EDB"/>
    <w:rsid w:val="37BBE1A1"/>
    <w:rsid w:val="37C4F008"/>
    <w:rsid w:val="382EAE93"/>
    <w:rsid w:val="38FCF75A"/>
    <w:rsid w:val="3A8879E8"/>
    <w:rsid w:val="3A965C4A"/>
    <w:rsid w:val="3B4EEACA"/>
    <w:rsid w:val="3BD4797E"/>
    <w:rsid w:val="3BF03148"/>
    <w:rsid w:val="3C4E42FD"/>
    <w:rsid w:val="3F2D6517"/>
    <w:rsid w:val="3FD9E00B"/>
    <w:rsid w:val="3FEEAD8E"/>
    <w:rsid w:val="407AF46D"/>
    <w:rsid w:val="40B9B7E9"/>
    <w:rsid w:val="41BB8081"/>
    <w:rsid w:val="41D37102"/>
    <w:rsid w:val="42BADD87"/>
    <w:rsid w:val="438E67AD"/>
    <w:rsid w:val="49F3C211"/>
    <w:rsid w:val="4B2062CD"/>
    <w:rsid w:val="4B2526B1"/>
    <w:rsid w:val="4B5C7E1B"/>
    <w:rsid w:val="4B856E3E"/>
    <w:rsid w:val="4BE481CB"/>
    <w:rsid w:val="4E5EA64A"/>
    <w:rsid w:val="4E93E7BB"/>
    <w:rsid w:val="5180B51C"/>
    <w:rsid w:val="5327185B"/>
    <w:rsid w:val="55BF3E60"/>
    <w:rsid w:val="55FCB6F0"/>
    <w:rsid w:val="57969BCC"/>
    <w:rsid w:val="58768BDE"/>
    <w:rsid w:val="592ABE11"/>
    <w:rsid w:val="596C40D9"/>
    <w:rsid w:val="5A5AFC88"/>
    <w:rsid w:val="5AAF89A7"/>
    <w:rsid w:val="5B80B5EA"/>
    <w:rsid w:val="5C518322"/>
    <w:rsid w:val="5C66184C"/>
    <w:rsid w:val="5D9E6E55"/>
    <w:rsid w:val="5F2A4FDE"/>
    <w:rsid w:val="5F547F7A"/>
    <w:rsid w:val="61CADD03"/>
    <w:rsid w:val="63E9E21A"/>
    <w:rsid w:val="6401776E"/>
    <w:rsid w:val="6494EBB0"/>
    <w:rsid w:val="65A1CE80"/>
    <w:rsid w:val="672802D6"/>
    <w:rsid w:val="69414FF7"/>
    <w:rsid w:val="6985FBA7"/>
    <w:rsid w:val="69BFD5F6"/>
    <w:rsid w:val="6C5F2091"/>
    <w:rsid w:val="717A9AE3"/>
    <w:rsid w:val="737EE34B"/>
    <w:rsid w:val="76FE2F3B"/>
    <w:rsid w:val="77D9C4C7"/>
    <w:rsid w:val="78C23404"/>
    <w:rsid w:val="78E6DFBB"/>
    <w:rsid w:val="7924D2A9"/>
    <w:rsid w:val="7A324F11"/>
    <w:rsid w:val="7CD4215E"/>
    <w:rsid w:val="7CD70992"/>
    <w:rsid w:val="7D12D818"/>
    <w:rsid w:val="7D79B19C"/>
    <w:rsid w:val="7F94B0A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1BC62"/>
  <w15:chartTrackingRefBased/>
  <w15:docId w15:val="{0745B5D8-5621-8E48-97FA-E5849A6AC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2CA4"/>
    <w:pPr>
      <w:spacing w:after="240"/>
      <w:ind w:left="1701"/>
      <w:jc w:val="both"/>
    </w:pPr>
    <w:rPr>
      <w:rFonts w:eastAsiaTheme="minorEastAsia"/>
      <w:sz w:val="22"/>
      <w:szCs w:val="22"/>
    </w:rPr>
  </w:style>
  <w:style w:type="paragraph" w:styleId="Heading1">
    <w:name w:val="heading 1"/>
    <w:basedOn w:val="Normal"/>
    <w:next w:val="Normal"/>
    <w:link w:val="Heading1Char"/>
    <w:uiPriority w:val="9"/>
    <w:qFormat/>
    <w:rsid w:val="003F0B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87142"/>
    <w:pPr>
      <w:keepNext/>
      <w:keepLines/>
      <w:spacing w:before="120" w:after="120"/>
      <w:jc w:val="left"/>
      <w:outlineLvl w:val="1"/>
    </w:pPr>
    <w:rPr>
      <w:rFonts w:ascii="Helvetica" w:eastAsiaTheme="majorEastAsia" w:hAnsi="Helvetica" w:cs="Times New Roman (Headings CS)"/>
      <w:color w:val="0F4761" w:themeColor="accent1" w:themeShade="BF"/>
      <w:spacing w:val="20"/>
    </w:rPr>
  </w:style>
  <w:style w:type="paragraph" w:styleId="Heading3">
    <w:name w:val="heading 3"/>
    <w:basedOn w:val="Normal"/>
    <w:next w:val="Normal"/>
    <w:link w:val="Heading3Char"/>
    <w:uiPriority w:val="9"/>
    <w:unhideWhenUsed/>
    <w:qFormat/>
    <w:rsid w:val="007B1035"/>
    <w:pPr>
      <w:keepNext/>
      <w:keepLines/>
      <w:numPr>
        <w:numId w:val="6"/>
      </w:numPr>
      <w:spacing w:before="160" w:after="80"/>
      <w:outlineLvl w:val="2"/>
    </w:pPr>
    <w:rPr>
      <w:rFonts w:eastAsiaTheme="majorEastAsia" w:cstheme="majorBidi"/>
      <w:b/>
      <w:bCs/>
      <w:color w:val="0F4761" w:themeColor="accent1" w:themeShade="BF"/>
    </w:rPr>
  </w:style>
  <w:style w:type="paragraph" w:styleId="Heading4">
    <w:name w:val="heading 4"/>
    <w:basedOn w:val="Normal"/>
    <w:next w:val="Normal"/>
    <w:link w:val="Heading4Char"/>
    <w:uiPriority w:val="9"/>
    <w:semiHidden/>
    <w:unhideWhenUsed/>
    <w:qFormat/>
    <w:rsid w:val="003F0B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0B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0BD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0BD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0BD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0BD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qFormat/>
    <w:rsid w:val="004C2D1D"/>
    <w:rPr>
      <w:color w:val="156082" w:themeColor="accent1"/>
      <w:u w:val="single"/>
    </w:rPr>
  </w:style>
  <w:style w:type="character" w:customStyle="1" w:styleId="Heading1Char">
    <w:name w:val="Heading 1 Char"/>
    <w:basedOn w:val="DefaultParagraphFont"/>
    <w:link w:val="Heading1"/>
    <w:uiPriority w:val="9"/>
    <w:rsid w:val="003F0B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87142"/>
    <w:rPr>
      <w:rFonts w:ascii="Helvetica" w:eastAsiaTheme="majorEastAsia" w:hAnsi="Helvetica" w:cs="Times New Roman (Headings CS)"/>
      <w:color w:val="0F4761" w:themeColor="accent1" w:themeShade="BF"/>
      <w:spacing w:val="20"/>
      <w:sz w:val="22"/>
      <w:szCs w:val="22"/>
    </w:rPr>
  </w:style>
  <w:style w:type="character" w:customStyle="1" w:styleId="Heading3Char">
    <w:name w:val="Heading 3 Char"/>
    <w:basedOn w:val="DefaultParagraphFont"/>
    <w:link w:val="Heading3"/>
    <w:uiPriority w:val="9"/>
    <w:rsid w:val="007B1035"/>
    <w:rPr>
      <w:rFonts w:eastAsiaTheme="majorEastAsia" w:cstheme="majorBidi"/>
      <w:b/>
      <w:bCs/>
      <w:color w:val="0F4761" w:themeColor="accent1" w:themeShade="BF"/>
      <w:sz w:val="22"/>
      <w:szCs w:val="22"/>
    </w:rPr>
  </w:style>
  <w:style w:type="character" w:customStyle="1" w:styleId="Heading4Char">
    <w:name w:val="Heading 4 Char"/>
    <w:basedOn w:val="DefaultParagraphFont"/>
    <w:link w:val="Heading4"/>
    <w:uiPriority w:val="9"/>
    <w:semiHidden/>
    <w:rsid w:val="003F0B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0B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0B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0B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0B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0BDA"/>
    <w:rPr>
      <w:rFonts w:eastAsiaTheme="majorEastAsia" w:cstheme="majorBidi"/>
      <w:color w:val="272727" w:themeColor="text1" w:themeTint="D8"/>
    </w:rPr>
  </w:style>
  <w:style w:type="paragraph" w:styleId="Title">
    <w:name w:val="Title"/>
    <w:basedOn w:val="Normal"/>
    <w:next w:val="Normal"/>
    <w:link w:val="TitleChar"/>
    <w:uiPriority w:val="10"/>
    <w:qFormat/>
    <w:rsid w:val="003F0BD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0B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0BDA"/>
    <w:pPr>
      <w:numPr>
        <w:ilvl w:val="1"/>
      </w:numPr>
      <w:spacing w:after="160"/>
      <w:ind w:left="1701"/>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0B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0BD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F0BDA"/>
    <w:rPr>
      <w:i/>
      <w:iCs/>
      <w:color w:val="404040" w:themeColor="text1" w:themeTint="BF"/>
    </w:rPr>
  </w:style>
  <w:style w:type="paragraph" w:styleId="ListParagraph">
    <w:name w:val="List Paragraph"/>
    <w:basedOn w:val="Normal"/>
    <w:uiPriority w:val="34"/>
    <w:qFormat/>
    <w:rsid w:val="00196E55"/>
    <w:pPr>
      <w:ind w:left="720"/>
    </w:pPr>
  </w:style>
  <w:style w:type="character" w:styleId="IntenseEmphasis">
    <w:name w:val="Intense Emphasis"/>
    <w:basedOn w:val="DefaultParagraphFont"/>
    <w:uiPriority w:val="21"/>
    <w:qFormat/>
    <w:rsid w:val="003F0BDA"/>
    <w:rPr>
      <w:i/>
      <w:iCs/>
      <w:color w:val="0F4761" w:themeColor="accent1" w:themeShade="BF"/>
    </w:rPr>
  </w:style>
  <w:style w:type="paragraph" w:styleId="IntenseQuote">
    <w:name w:val="Intense Quote"/>
    <w:basedOn w:val="Normal"/>
    <w:next w:val="Normal"/>
    <w:link w:val="IntenseQuoteChar"/>
    <w:uiPriority w:val="30"/>
    <w:qFormat/>
    <w:rsid w:val="003F0B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0BDA"/>
    <w:rPr>
      <w:i/>
      <w:iCs/>
      <w:color w:val="0F4761" w:themeColor="accent1" w:themeShade="BF"/>
    </w:rPr>
  </w:style>
  <w:style w:type="character" w:styleId="IntenseReference">
    <w:name w:val="Intense Reference"/>
    <w:basedOn w:val="DefaultParagraphFont"/>
    <w:uiPriority w:val="32"/>
    <w:qFormat/>
    <w:rsid w:val="003F0BDA"/>
    <w:rPr>
      <w:b/>
      <w:bCs/>
      <w:smallCaps/>
      <w:color w:val="0F4761" w:themeColor="accent1" w:themeShade="BF"/>
      <w:spacing w:val="5"/>
    </w:rPr>
  </w:style>
  <w:style w:type="paragraph" w:styleId="EndnoteText">
    <w:name w:val="endnote text"/>
    <w:basedOn w:val="Normal"/>
    <w:link w:val="EndnoteTextChar"/>
    <w:uiPriority w:val="99"/>
    <w:unhideWhenUsed/>
    <w:rsid w:val="00083ACB"/>
    <w:rPr>
      <w:sz w:val="20"/>
      <w:szCs w:val="20"/>
    </w:rPr>
  </w:style>
  <w:style w:type="character" w:customStyle="1" w:styleId="EndnoteTextChar">
    <w:name w:val="Endnote Text Char"/>
    <w:basedOn w:val="DefaultParagraphFont"/>
    <w:link w:val="EndnoteText"/>
    <w:uiPriority w:val="99"/>
    <w:rsid w:val="00083ACB"/>
    <w:rPr>
      <w:sz w:val="20"/>
      <w:szCs w:val="20"/>
    </w:rPr>
  </w:style>
  <w:style w:type="character" w:styleId="EndnoteReference">
    <w:name w:val="endnote reference"/>
    <w:basedOn w:val="DefaultParagraphFont"/>
    <w:uiPriority w:val="99"/>
    <w:semiHidden/>
    <w:unhideWhenUsed/>
    <w:rsid w:val="00083ACB"/>
    <w:rPr>
      <w:vertAlign w:val="superscript"/>
    </w:rPr>
  </w:style>
  <w:style w:type="paragraph" w:styleId="FootnoteText">
    <w:name w:val="footnote text"/>
    <w:basedOn w:val="Normal"/>
    <w:link w:val="FootnoteTextChar"/>
    <w:uiPriority w:val="99"/>
    <w:unhideWhenUsed/>
    <w:rsid w:val="004A1DC5"/>
    <w:pPr>
      <w:spacing w:after="0"/>
    </w:pPr>
    <w:rPr>
      <w:sz w:val="20"/>
      <w:szCs w:val="20"/>
    </w:rPr>
  </w:style>
  <w:style w:type="character" w:customStyle="1" w:styleId="FootnoteTextChar">
    <w:name w:val="Footnote Text Char"/>
    <w:basedOn w:val="DefaultParagraphFont"/>
    <w:link w:val="FootnoteText"/>
    <w:uiPriority w:val="99"/>
    <w:rsid w:val="004A1DC5"/>
    <w:rPr>
      <w:sz w:val="20"/>
      <w:szCs w:val="20"/>
    </w:rPr>
  </w:style>
  <w:style w:type="character" w:styleId="FootnoteReference">
    <w:name w:val="footnote reference"/>
    <w:basedOn w:val="DefaultParagraphFont"/>
    <w:uiPriority w:val="99"/>
    <w:semiHidden/>
    <w:unhideWhenUsed/>
    <w:rsid w:val="00655C1E"/>
    <w:rPr>
      <w:vertAlign w:val="superscript"/>
    </w:rPr>
  </w:style>
  <w:style w:type="paragraph" w:styleId="NoSpacing">
    <w:name w:val="No Spacing"/>
    <w:uiPriority w:val="1"/>
    <w:qFormat/>
    <w:rsid w:val="00E75C2E"/>
    <w:rPr>
      <w:sz w:val="22"/>
      <w:szCs w:val="22"/>
    </w:rPr>
  </w:style>
  <w:style w:type="paragraph" w:styleId="NormalWeb">
    <w:name w:val="Normal (Web)"/>
    <w:basedOn w:val="Normal"/>
    <w:uiPriority w:val="99"/>
    <w:semiHidden/>
    <w:unhideWhenUsed/>
    <w:rsid w:val="00534073"/>
    <w:rPr>
      <w:rFonts w:ascii="Times New Roman" w:hAnsi="Times New Roman" w:cs="Times New Roman"/>
      <w:sz w:val="24"/>
      <w:szCs w:val="24"/>
    </w:rPr>
  </w:style>
  <w:style w:type="character" w:styleId="Strong">
    <w:name w:val="Strong"/>
    <w:basedOn w:val="DefaultParagraphFont"/>
    <w:uiPriority w:val="22"/>
    <w:qFormat/>
    <w:rsid w:val="00FC0B26"/>
    <w:rPr>
      <w:b/>
      <w:bCs/>
    </w:rPr>
  </w:style>
  <w:style w:type="character" w:styleId="Hyperlink">
    <w:name w:val="Hyperlink"/>
    <w:basedOn w:val="DefaultParagraphFont"/>
    <w:uiPriority w:val="99"/>
    <w:unhideWhenUsed/>
    <w:rsid w:val="00110BA5"/>
    <w:rPr>
      <w:color w:val="467886" w:themeColor="hyperlink"/>
      <w:u w:val="single"/>
    </w:rPr>
  </w:style>
  <w:style w:type="character" w:styleId="UnresolvedMention">
    <w:name w:val="Unresolved Mention"/>
    <w:basedOn w:val="DefaultParagraphFont"/>
    <w:uiPriority w:val="99"/>
    <w:semiHidden/>
    <w:unhideWhenUsed/>
    <w:rsid w:val="00110BA5"/>
    <w:rPr>
      <w:color w:val="605E5C"/>
      <w:shd w:val="clear" w:color="auto" w:fill="E1DFDD"/>
    </w:rPr>
  </w:style>
  <w:style w:type="paragraph" w:styleId="Footer">
    <w:name w:val="footer"/>
    <w:basedOn w:val="Normal"/>
    <w:link w:val="FooterChar"/>
    <w:uiPriority w:val="99"/>
    <w:unhideWhenUsed/>
    <w:rsid w:val="007D4137"/>
    <w:pPr>
      <w:tabs>
        <w:tab w:val="center" w:pos="4513"/>
        <w:tab w:val="right" w:pos="9026"/>
      </w:tabs>
      <w:spacing w:after="0"/>
    </w:pPr>
  </w:style>
  <w:style w:type="character" w:customStyle="1" w:styleId="FooterChar">
    <w:name w:val="Footer Char"/>
    <w:basedOn w:val="DefaultParagraphFont"/>
    <w:link w:val="Footer"/>
    <w:uiPriority w:val="99"/>
    <w:rsid w:val="007D4137"/>
    <w:rPr>
      <w:sz w:val="22"/>
      <w:szCs w:val="22"/>
    </w:rPr>
  </w:style>
  <w:style w:type="character" w:styleId="PageNumber">
    <w:name w:val="page number"/>
    <w:basedOn w:val="DefaultParagraphFont"/>
    <w:uiPriority w:val="99"/>
    <w:semiHidden/>
    <w:unhideWhenUsed/>
    <w:rsid w:val="007D4137"/>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FF2F55"/>
    <w:rPr>
      <w:sz w:val="22"/>
      <w:szCs w:val="22"/>
    </w:rPr>
  </w:style>
  <w:style w:type="paragraph" w:styleId="CommentSubject">
    <w:name w:val="annotation subject"/>
    <w:basedOn w:val="CommentText"/>
    <w:next w:val="CommentText"/>
    <w:link w:val="CommentSubjectChar"/>
    <w:uiPriority w:val="99"/>
    <w:semiHidden/>
    <w:unhideWhenUsed/>
    <w:rsid w:val="00FF2F55"/>
    <w:rPr>
      <w:b/>
      <w:bCs/>
    </w:rPr>
  </w:style>
  <w:style w:type="character" w:customStyle="1" w:styleId="CommentSubjectChar">
    <w:name w:val="Comment Subject Char"/>
    <w:basedOn w:val="CommentTextChar"/>
    <w:link w:val="CommentSubject"/>
    <w:uiPriority w:val="99"/>
    <w:semiHidden/>
    <w:rsid w:val="00FF2F55"/>
    <w:rPr>
      <w:b/>
      <w:bCs/>
      <w:sz w:val="20"/>
      <w:szCs w:val="20"/>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914235">
      <w:bodyDiv w:val="1"/>
      <w:marLeft w:val="0"/>
      <w:marRight w:val="0"/>
      <w:marTop w:val="0"/>
      <w:marBottom w:val="0"/>
      <w:divBdr>
        <w:top w:val="none" w:sz="0" w:space="0" w:color="auto"/>
        <w:left w:val="none" w:sz="0" w:space="0" w:color="auto"/>
        <w:bottom w:val="none" w:sz="0" w:space="0" w:color="auto"/>
        <w:right w:val="none" w:sz="0" w:space="0" w:color="auto"/>
      </w:divBdr>
    </w:div>
    <w:div w:id="1640912400">
      <w:bodyDiv w:val="1"/>
      <w:marLeft w:val="0"/>
      <w:marRight w:val="0"/>
      <w:marTop w:val="0"/>
      <w:marBottom w:val="0"/>
      <w:divBdr>
        <w:top w:val="none" w:sz="0" w:space="0" w:color="auto"/>
        <w:left w:val="none" w:sz="0" w:space="0" w:color="auto"/>
        <w:bottom w:val="none" w:sz="0" w:space="0" w:color="auto"/>
        <w:right w:val="none" w:sz="0" w:space="0" w:color="auto"/>
      </w:divBdr>
    </w:div>
    <w:div w:id="1905875405">
      <w:bodyDiv w:val="1"/>
      <w:marLeft w:val="0"/>
      <w:marRight w:val="0"/>
      <w:marTop w:val="0"/>
      <w:marBottom w:val="0"/>
      <w:divBdr>
        <w:top w:val="none" w:sz="0" w:space="0" w:color="auto"/>
        <w:left w:val="none" w:sz="0" w:space="0" w:color="auto"/>
        <w:bottom w:val="none" w:sz="0" w:space="0" w:color="auto"/>
        <w:right w:val="none" w:sz="0" w:space="0" w:color="auto"/>
      </w:divBdr>
    </w:div>
    <w:div w:id="2097095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_rels/endnotes.xml.rels><?xml version="1.0" encoding="UTF-8" standalone="yes"?>
<Relationships xmlns="http://schemas.openxmlformats.org/package/2006/relationships"><Relationship Id="rId8" Type="http://schemas.openxmlformats.org/officeDocument/2006/relationships/hyperlink" Target="https://www.guttmacher.org/2024/10/just-numbers-impact-dutch-international-assistance-family-planning-and-hiv-2024" TargetMode="External"/><Relationship Id="rId3" Type="http://schemas.openxmlformats.org/officeDocument/2006/relationships/hyperlink" Target="https://www.guttmacher.org/report/evidence-for-ending-global-gag-rule" TargetMode="External"/><Relationship Id="rId7" Type="http://schemas.openxmlformats.org/officeDocument/2006/relationships/hyperlink" Target="https://www.countdown2030europe.org/sweden/" TargetMode="External"/><Relationship Id="rId2" Type="http://schemas.openxmlformats.org/officeDocument/2006/relationships/hyperlink" Target="https://humanrightsfirst.org/wp-content/uploads/2023/06/FINAL-HRF-Fact-Sheet-Anti-Trans-Extremism-June-2023.pdf" TargetMode="External"/><Relationship Id="rId1" Type="http://schemas.openxmlformats.org/officeDocument/2006/relationships/hyperlink" Target="https://reproductiverights.org/roe-v-wade/" TargetMode="External"/><Relationship Id="rId6" Type="http://schemas.openxmlformats.org/officeDocument/2006/relationships/hyperlink" Target="https://media.odi.org/documents/ODI-FeministResponseNormSpoiling-Briefingnote_Final_Z2fwTg4.pdf" TargetMode="External"/><Relationship Id="rId5" Type="http://schemas.openxmlformats.org/officeDocument/2006/relationships/hyperlink" Target="https://docs.un.org/en/A/75/626" TargetMode="External"/><Relationship Id="rId4" Type="http://schemas.openxmlformats.org/officeDocument/2006/relationships/hyperlink" Target="https://www.awid.org/sites/default/files/2022-01/Ch4_RightsAtRisk_TimeForAction_2021.pdf" TargetMode="External"/><Relationship Id="rId9" Type="http://schemas.openxmlformats.org/officeDocument/2006/relationships/hyperlink" Target="https://media.odi.org/documents/ODI-FeministResponseNormSpoiling-Briefingnote_Final_Z2fwTg4.pdf"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srhrconsortium.org"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womensdeclaration.com/documents/43/A5_Declaration_Booklet.pdf" TargetMode="External"/><Relationship Id="rId1" Type="http://schemas.openxmlformats.org/officeDocument/2006/relationships/hyperlink" Target="https://www.theiwh.org/wp-content/uploads/2024/11/Geneva-Consensus-Declaration-GCD-English-202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DAC1EC-C439-DD47-84D5-DBFF41D06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5</Pages>
  <Words>1266</Words>
  <Characters>7221</Characters>
  <Application>Microsoft Office Word</Application>
  <DocSecurity>0</DocSecurity>
  <Lines>60</Lines>
  <Paragraphs>16</Paragraphs>
  <ScaleCrop>false</ScaleCrop>
  <Company/>
  <LinksUpToDate>false</LinksUpToDate>
  <CharactersWithSpaces>8471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Zeshi Fisher</dc:creator>
  <cp:keywords/>
  <dc:description/>
  <cp:lastModifiedBy>Zeshi Fisher</cp:lastModifiedBy>
  <cp:revision>95</cp:revision>
  <cp:lastPrinted>2025-03-20T02:56:00Z</cp:lastPrinted>
  <dcterms:created xsi:type="dcterms:W3CDTF">2025-03-20T01:18:00Z</dcterms:created>
  <dcterms:modified xsi:type="dcterms:W3CDTF">2025-03-21T00:55:00Z</dcterms:modified>
</cp:coreProperties>
</file>