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79B172" w14:textId="3BC32672" w:rsidR="006710E9" w:rsidRDefault="00D6234B" w:rsidP="003C744C">
      <w:pPr>
        <w:pStyle w:val="Heading2"/>
      </w:pPr>
      <w:r w:rsidRPr="005442EA">
        <w:rPr>
          <w:noProof/>
        </w:rPr>
        <w:drawing>
          <wp:anchor distT="0" distB="0" distL="114300" distR="114300" simplePos="0" relativeHeight="251665408" behindDoc="0" locked="0" layoutInCell="1" allowOverlap="1" wp14:anchorId="1FCE6551" wp14:editId="4AE98FCE">
            <wp:simplePos x="0" y="0"/>
            <wp:positionH relativeFrom="column">
              <wp:posOffset>702522</wp:posOffset>
            </wp:positionH>
            <wp:positionV relativeFrom="paragraph">
              <wp:posOffset>-234950</wp:posOffset>
            </wp:positionV>
            <wp:extent cx="1979802" cy="932751"/>
            <wp:effectExtent l="0" t="0" r="1905" b="1270"/>
            <wp:wrapNone/>
            <wp:docPr id="56659324" name="Picture 2" descr="P1#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59324" name="Picture 2" descr="P1#y1"/>
                    <pic:cNvPicPr/>
                  </pic:nvPicPr>
                  <pic:blipFill rotWithShape="1">
                    <a:blip r:embed="rId8" cstate="print">
                      <a:extLst>
                        <a:ext uri="{28A0092B-C50C-407E-A947-70E740481C1C}">
                          <a14:useLocalDpi xmlns:a14="http://schemas.microsoft.com/office/drawing/2010/main" val="0"/>
                        </a:ext>
                      </a:extLst>
                    </a:blip>
                    <a:srcRect l="12123" r="19706" b="15335"/>
                    <a:stretch/>
                  </pic:blipFill>
                  <pic:spPr bwMode="auto">
                    <a:xfrm>
                      <a:off x="0" y="0"/>
                      <a:ext cx="1979802" cy="93275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6673713" w14:textId="77777777" w:rsidR="00D6234B" w:rsidRDefault="00D6234B" w:rsidP="003C744C">
      <w:pPr>
        <w:pStyle w:val="Heading2"/>
      </w:pPr>
    </w:p>
    <w:p w14:paraId="3515BFC9" w14:textId="77777777" w:rsidR="00987142" w:rsidRDefault="00987142" w:rsidP="003C744C">
      <w:pPr>
        <w:pStyle w:val="Heading2"/>
      </w:pPr>
    </w:p>
    <w:p w14:paraId="6FD0BE6E" w14:textId="2305EB04" w:rsidR="11AC5B17" w:rsidRPr="00987142" w:rsidRDefault="00452CA4" w:rsidP="003C744C">
      <w:pPr>
        <w:pStyle w:val="Heading2"/>
      </w:pPr>
      <w:r w:rsidRPr="009704E1">
        <w:t>POLICY BRIEF</w:t>
      </w:r>
    </w:p>
    <w:p w14:paraId="5CDE38B2" w14:textId="570DD533" w:rsidR="00E13CEC" w:rsidRPr="004B6DF4" w:rsidRDefault="005B1EBC" w:rsidP="00925A54">
      <w:pPr>
        <w:pStyle w:val="Heading1"/>
        <w:spacing w:before="0"/>
        <w:rPr>
          <w:rFonts w:asciiTheme="minorHAnsi" w:eastAsiaTheme="minorHAnsi" w:hAnsiTheme="minorHAnsi" w:cstheme="minorBidi"/>
          <w:b/>
          <w:bCs/>
          <w:color w:val="00545B"/>
        </w:rPr>
      </w:pPr>
      <w:r w:rsidRPr="004B6DF4">
        <w:rPr>
          <w:rFonts w:asciiTheme="minorHAnsi" w:eastAsiaTheme="minorHAnsi" w:hAnsiTheme="minorHAnsi" w:cstheme="minorBidi"/>
          <w:b/>
          <w:bCs/>
          <w:color w:val="00545B"/>
        </w:rPr>
        <w:t xml:space="preserve">Investing in SRHR for </w:t>
      </w:r>
      <w:r w:rsidR="005452E8" w:rsidRPr="004B6DF4">
        <w:rPr>
          <w:rFonts w:asciiTheme="minorHAnsi" w:eastAsiaTheme="minorHAnsi" w:hAnsiTheme="minorHAnsi" w:cstheme="minorBidi"/>
          <w:b/>
          <w:bCs/>
          <w:color w:val="00545B"/>
        </w:rPr>
        <w:t>h</w:t>
      </w:r>
      <w:r w:rsidRPr="004B6DF4">
        <w:rPr>
          <w:rFonts w:asciiTheme="minorHAnsi" w:eastAsiaTheme="minorHAnsi" w:hAnsiTheme="minorHAnsi" w:cstheme="minorBidi"/>
          <w:b/>
          <w:bCs/>
          <w:color w:val="00545B"/>
        </w:rPr>
        <w:t xml:space="preserve">ealthy and </w:t>
      </w:r>
      <w:r w:rsidR="005452E8" w:rsidRPr="004B6DF4">
        <w:rPr>
          <w:rFonts w:asciiTheme="minorHAnsi" w:eastAsiaTheme="minorHAnsi" w:hAnsiTheme="minorHAnsi" w:cstheme="minorBidi"/>
          <w:b/>
          <w:bCs/>
          <w:color w:val="00545B"/>
        </w:rPr>
        <w:t>e</w:t>
      </w:r>
      <w:r w:rsidRPr="004B6DF4">
        <w:rPr>
          <w:rFonts w:asciiTheme="minorHAnsi" w:eastAsiaTheme="minorHAnsi" w:hAnsiTheme="minorHAnsi" w:cstheme="minorBidi"/>
          <w:b/>
          <w:bCs/>
          <w:color w:val="00545B"/>
        </w:rPr>
        <w:t xml:space="preserve">quitable </w:t>
      </w:r>
      <w:r w:rsidR="005452E8" w:rsidRPr="004B6DF4">
        <w:rPr>
          <w:rFonts w:asciiTheme="minorHAnsi" w:eastAsiaTheme="minorHAnsi" w:hAnsiTheme="minorHAnsi" w:cstheme="minorBidi"/>
          <w:b/>
          <w:bCs/>
          <w:color w:val="00545B"/>
        </w:rPr>
        <w:t>s</w:t>
      </w:r>
      <w:r w:rsidRPr="004B6DF4">
        <w:rPr>
          <w:rFonts w:asciiTheme="minorHAnsi" w:eastAsiaTheme="minorHAnsi" w:hAnsiTheme="minorHAnsi" w:cstheme="minorBidi"/>
          <w:b/>
          <w:bCs/>
          <w:color w:val="00545B"/>
        </w:rPr>
        <w:t>ocieties</w:t>
      </w:r>
    </w:p>
    <w:p w14:paraId="65EF14EE" w14:textId="77777777" w:rsidR="00987142" w:rsidRPr="005452E8" w:rsidRDefault="00987142" w:rsidP="003C744C">
      <w:pPr>
        <w:pStyle w:val="Heading2"/>
      </w:pPr>
      <w:r w:rsidRPr="005452E8">
        <w:t>International Sexual and Reproductive Health and Rights Consortium</w:t>
      </w:r>
    </w:p>
    <w:p w14:paraId="60A99767" w14:textId="777CC165" w:rsidR="005452E8" w:rsidRPr="005452E8" w:rsidRDefault="6C86BE5E" w:rsidP="00954D43">
      <w:pPr>
        <w:pStyle w:val="Heading2"/>
      </w:pPr>
      <w:r>
        <w:t>30 July 2025</w:t>
      </w:r>
    </w:p>
    <w:p w14:paraId="4D1CF3F8" w14:textId="339D6C1A" w:rsidR="00412222" w:rsidRPr="003C744C" w:rsidRDefault="00412222" w:rsidP="00954D43">
      <w:pPr>
        <w:jc w:val="both"/>
        <w:rPr>
          <w:b/>
          <w:bCs/>
        </w:rPr>
      </w:pPr>
      <w:r w:rsidRPr="003C744C">
        <w:rPr>
          <w:b/>
          <w:bCs/>
        </w:rPr>
        <w:t>This policy brief describes the importance of investing in sexual and reproductive health and rights</w:t>
      </w:r>
      <w:r w:rsidR="005452E8" w:rsidRPr="003C744C">
        <w:rPr>
          <w:b/>
          <w:bCs/>
        </w:rPr>
        <w:t xml:space="preserve"> (SRHR)</w:t>
      </w:r>
      <w:r w:rsidRPr="003C744C">
        <w:rPr>
          <w:b/>
          <w:bCs/>
        </w:rPr>
        <w:t xml:space="preserve"> for the achievement of healthy and equitable societies. It is for community leaders, policymakers, public health professionals, and academics to use in advocacy, research, and policy development.</w:t>
      </w:r>
    </w:p>
    <w:p w14:paraId="40D98E7B" w14:textId="72E588B3" w:rsidR="00E54840" w:rsidRPr="00E54840" w:rsidRDefault="00974195" w:rsidP="003C744C">
      <w:r>
        <w:rPr>
          <w:noProof/>
        </w:rPr>
        <mc:AlternateContent>
          <mc:Choice Requires="wps">
            <w:drawing>
              <wp:anchor distT="0" distB="0" distL="114300" distR="114300" simplePos="0" relativeHeight="251659264" behindDoc="0" locked="0" layoutInCell="1" allowOverlap="1" wp14:anchorId="7CA1F9E8" wp14:editId="54821512">
                <wp:simplePos x="0" y="0"/>
                <wp:positionH relativeFrom="column">
                  <wp:posOffset>930303</wp:posOffset>
                </wp:positionH>
                <wp:positionV relativeFrom="paragraph">
                  <wp:posOffset>102787</wp:posOffset>
                </wp:positionV>
                <wp:extent cx="4823404" cy="0"/>
                <wp:effectExtent l="0" t="0" r="0" b="0"/>
                <wp:wrapNone/>
                <wp:docPr id="1465948594" name="Straight Connector 3" descr="P9#y1"/>
                <wp:cNvGraphicFramePr/>
                <a:graphic xmlns:a="http://schemas.openxmlformats.org/drawingml/2006/main">
                  <a:graphicData uri="http://schemas.microsoft.com/office/word/2010/wordprocessingShape">
                    <wps:wsp>
                      <wps:cNvCnPr/>
                      <wps:spPr>
                        <a:xfrm>
                          <a:off x="0" y="0"/>
                          <a:ext cx="4823404"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4FFA3EE2" id="Straight Connector 3" o:spid="_x0000_s1026" alt="P9#y1"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3.25pt,8.1pt" to="453.05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" strokecolor="#156082 [3204]" strokeweight="1pt">
                <v:stroke joinstyle="miter"/>
              </v:line>
            </w:pict>
          </mc:Fallback>
        </mc:AlternateContent>
      </w:r>
    </w:p>
    <w:p w14:paraId="019FE124" w14:textId="35DAD83A" w:rsidR="00974195" w:rsidRPr="00732B0F" w:rsidRDefault="00782476" w:rsidP="003C744C">
      <w:pPr>
        <w:pStyle w:val="Heading2"/>
      </w:pPr>
      <w:r>
        <w:t>Key messages</w:t>
      </w:r>
    </w:p>
    <w:p w14:paraId="77DF1BFC" w14:textId="597C2EFF" w:rsidR="00160BA6" w:rsidRPr="00160BA6" w:rsidRDefault="7457C1EE" w:rsidP="001D19F0">
      <w:pPr>
        <w:pStyle w:val="ListParagraph"/>
        <w:numPr>
          <w:ilvl w:val="0"/>
          <w:numId w:val="17"/>
        </w:numPr>
        <w:jc w:val="both"/>
        <w:rPr>
          <w:b/>
          <w:bCs/>
          <w:lang w:eastAsia="en-AU"/>
        </w:rPr>
      </w:pPr>
      <w:r w:rsidRPr="7457C1EE">
        <w:rPr>
          <w:b/>
          <w:bCs/>
          <w:lang w:eastAsia="en-AU"/>
        </w:rPr>
        <w:t>SRHR is essential for equitable and resilient health systems.</w:t>
      </w:r>
      <w:r w:rsidRPr="7457C1EE">
        <w:rPr>
          <w:lang w:eastAsia="en-AU"/>
        </w:rPr>
        <w:t xml:space="preserve"> Investment in SRHR </w:t>
      </w:r>
      <w:r w:rsidR="00711658">
        <w:rPr>
          <w:rFonts w:ascii="ZWAdobeF" w:hAnsi="ZWAdobeF" w:cs="ZWAdobeF"/>
          <w:sz w:val="2"/>
          <w:szCs w:val="2"/>
          <w:lang w:eastAsia="en-AU"/>
        </w:rPr>
        <w:t>0F</w:t>
      </w:r>
      <w:r w:rsidR="00B07059">
        <w:rPr>
          <w:rStyle w:val="FootnoteReference"/>
          <w:lang w:eastAsia="en-AU"/>
        </w:rPr>
        <w:footnoteReference w:id="1"/>
      </w:r>
      <w:r w:rsidRPr="7457C1EE">
        <w:rPr>
          <w:lang w:eastAsia="en-AU"/>
        </w:rPr>
        <w:t>reduces preventable health burdens and strengthens the capacity of health systems to serve communities effectively.</w:t>
      </w:r>
    </w:p>
    <w:p w14:paraId="45417CA5" w14:textId="06CDB9F1" w:rsidR="00160BA6" w:rsidRPr="00160BA6" w:rsidRDefault="00160BA6" w:rsidP="001D19F0">
      <w:pPr>
        <w:pStyle w:val="ListParagraph"/>
        <w:numPr>
          <w:ilvl w:val="0"/>
          <w:numId w:val="17"/>
        </w:numPr>
        <w:jc w:val="both"/>
        <w:rPr>
          <w:b/>
          <w:bCs/>
          <w:lang w:eastAsia="en-AU"/>
        </w:rPr>
      </w:pPr>
      <w:r w:rsidRPr="00160BA6">
        <w:rPr>
          <w:b/>
          <w:bCs/>
          <w:lang w:eastAsia="en-AU"/>
        </w:rPr>
        <w:t>SRHR empowers women and youth</w:t>
      </w:r>
      <w:r w:rsidR="003441CE">
        <w:rPr>
          <w:b/>
          <w:bCs/>
          <w:lang w:eastAsia="en-AU"/>
        </w:rPr>
        <w:t>.</w:t>
      </w:r>
      <w:r w:rsidRPr="00160BA6">
        <w:rPr>
          <w:lang w:eastAsia="en-AU"/>
        </w:rPr>
        <w:t xml:space="preserve"> Access to reproductive health services and </w:t>
      </w:r>
      <w:r w:rsidR="00A82FEE">
        <w:rPr>
          <w:lang w:eastAsia="en-AU"/>
        </w:rPr>
        <w:t>information</w:t>
      </w:r>
      <w:r w:rsidRPr="00160BA6">
        <w:rPr>
          <w:lang w:eastAsia="en-AU"/>
        </w:rPr>
        <w:t xml:space="preserve"> enables individuals to make informed choices </w:t>
      </w:r>
      <w:r w:rsidR="00861C27">
        <w:rPr>
          <w:lang w:eastAsia="en-AU"/>
        </w:rPr>
        <w:t>and supports</w:t>
      </w:r>
      <w:r w:rsidRPr="00160BA6">
        <w:rPr>
          <w:lang w:eastAsia="en-AU"/>
        </w:rPr>
        <w:t xml:space="preserve"> gender equality, education</w:t>
      </w:r>
      <w:r w:rsidR="00A82FEE">
        <w:rPr>
          <w:lang w:eastAsia="en-AU"/>
        </w:rPr>
        <w:t xml:space="preserve"> attainment</w:t>
      </w:r>
      <w:r w:rsidRPr="00160BA6">
        <w:rPr>
          <w:lang w:eastAsia="en-AU"/>
        </w:rPr>
        <w:t>, and economic participation.</w:t>
      </w:r>
    </w:p>
    <w:p w14:paraId="7C57A792" w14:textId="081EDF0B" w:rsidR="00160BA6" w:rsidRPr="00160BA6" w:rsidRDefault="00160BA6" w:rsidP="001D19F0">
      <w:pPr>
        <w:pStyle w:val="ListParagraph"/>
        <w:numPr>
          <w:ilvl w:val="0"/>
          <w:numId w:val="17"/>
        </w:numPr>
        <w:jc w:val="both"/>
        <w:rPr>
          <w:b/>
          <w:bCs/>
          <w:lang w:eastAsia="en-AU"/>
        </w:rPr>
      </w:pPr>
      <w:r w:rsidRPr="00160BA6">
        <w:rPr>
          <w:b/>
          <w:bCs/>
          <w:lang w:eastAsia="en-AU"/>
        </w:rPr>
        <w:t>SRHR reduces inequality and exclusion</w:t>
      </w:r>
      <w:r w:rsidR="00A82FEE">
        <w:rPr>
          <w:b/>
          <w:bCs/>
          <w:lang w:eastAsia="en-AU"/>
        </w:rPr>
        <w:t xml:space="preserve">. </w:t>
      </w:r>
      <w:r w:rsidRPr="00160BA6">
        <w:rPr>
          <w:lang w:eastAsia="en-AU"/>
        </w:rPr>
        <w:t>Targeted investments ensure marginalised groups, including LGBTQI+ people, people with disabilities, and rural populations, are not left behind in health and development.</w:t>
      </w:r>
    </w:p>
    <w:p w14:paraId="49C47FE1" w14:textId="56F8D9CB" w:rsidR="00160BA6" w:rsidRPr="00160BA6" w:rsidRDefault="00160BA6" w:rsidP="001D19F0">
      <w:pPr>
        <w:pStyle w:val="ListParagraph"/>
        <w:numPr>
          <w:ilvl w:val="0"/>
          <w:numId w:val="17"/>
        </w:numPr>
        <w:jc w:val="both"/>
        <w:rPr>
          <w:b/>
          <w:bCs/>
          <w:lang w:eastAsia="en-AU"/>
        </w:rPr>
      </w:pPr>
      <w:r w:rsidRPr="00160BA6">
        <w:rPr>
          <w:b/>
          <w:bCs/>
          <w:lang w:eastAsia="en-AU"/>
        </w:rPr>
        <w:t>SRHR drives economic and social development</w:t>
      </w:r>
      <w:r w:rsidR="00B313AB">
        <w:rPr>
          <w:b/>
          <w:bCs/>
          <w:lang w:eastAsia="en-AU"/>
        </w:rPr>
        <w:t>.</w:t>
      </w:r>
      <w:r w:rsidRPr="00160BA6">
        <w:rPr>
          <w:lang w:eastAsia="en-AU"/>
        </w:rPr>
        <w:t xml:space="preserve"> Every dollar invested in SRHR yields significant returns through improved productivity, reduced health costs, and stronger human capital.</w:t>
      </w:r>
    </w:p>
    <w:p w14:paraId="126AADB0" w14:textId="0893D9F8" w:rsidR="00160BA6" w:rsidRPr="00160BA6" w:rsidRDefault="00160BA6" w:rsidP="001D19F0">
      <w:pPr>
        <w:pStyle w:val="ListParagraph"/>
        <w:numPr>
          <w:ilvl w:val="0"/>
          <w:numId w:val="17"/>
        </w:numPr>
        <w:jc w:val="both"/>
        <w:rPr>
          <w:b/>
          <w:bCs/>
          <w:lang w:eastAsia="en-AU"/>
        </w:rPr>
      </w:pPr>
      <w:r w:rsidRPr="00160BA6">
        <w:rPr>
          <w:b/>
          <w:bCs/>
          <w:lang w:eastAsia="en-AU"/>
        </w:rPr>
        <w:t>SRHR investment builds trust and stability</w:t>
      </w:r>
      <w:r w:rsidR="00B313AB">
        <w:rPr>
          <w:b/>
          <w:bCs/>
          <w:lang w:eastAsia="en-AU"/>
        </w:rPr>
        <w:t>.</w:t>
      </w:r>
      <w:r w:rsidRPr="00160BA6">
        <w:rPr>
          <w:lang w:eastAsia="en-AU"/>
        </w:rPr>
        <w:t xml:space="preserve"> Inclusive, rights-based SRHR services foster social cohesion and strengthen</w:t>
      </w:r>
      <w:r w:rsidR="00F838E2">
        <w:rPr>
          <w:lang w:eastAsia="en-AU"/>
        </w:rPr>
        <w:t>s</w:t>
      </w:r>
      <w:r w:rsidRPr="00160BA6">
        <w:rPr>
          <w:lang w:eastAsia="en-AU"/>
        </w:rPr>
        <w:t xml:space="preserve"> </w:t>
      </w:r>
      <w:r w:rsidR="00F838E2">
        <w:rPr>
          <w:lang w:eastAsia="en-AU"/>
        </w:rPr>
        <w:t>trust and accountability</w:t>
      </w:r>
      <w:r w:rsidRPr="00160BA6">
        <w:rPr>
          <w:lang w:eastAsia="en-AU"/>
        </w:rPr>
        <w:t xml:space="preserve"> between governments</w:t>
      </w:r>
      <w:r w:rsidR="00F838E2">
        <w:rPr>
          <w:lang w:eastAsia="en-AU"/>
        </w:rPr>
        <w:t xml:space="preserve">, </w:t>
      </w:r>
      <w:r w:rsidR="00CB6007">
        <w:rPr>
          <w:lang w:eastAsia="en-AU"/>
        </w:rPr>
        <w:t>institutions</w:t>
      </w:r>
      <w:r w:rsidR="00F838E2">
        <w:rPr>
          <w:lang w:eastAsia="en-AU"/>
        </w:rPr>
        <w:t>,</w:t>
      </w:r>
      <w:r w:rsidRPr="00160BA6">
        <w:rPr>
          <w:lang w:eastAsia="en-AU"/>
        </w:rPr>
        <w:t xml:space="preserve"> and communities.</w:t>
      </w:r>
    </w:p>
    <w:p w14:paraId="12191041" w14:textId="5E4244D8" w:rsidR="6985FBA7" w:rsidRDefault="0093266B" w:rsidP="007B748E">
      <w:pPr>
        <w:pStyle w:val="NoSpacing"/>
      </w:pPr>
      <w:r>
        <w:rPr>
          <w:noProof/>
        </w:rPr>
        <mc:AlternateContent>
          <mc:Choice Requires="wps">
            <w:drawing>
              <wp:anchor distT="0" distB="0" distL="114300" distR="114300" simplePos="0" relativeHeight="251661312" behindDoc="0" locked="0" layoutInCell="1" allowOverlap="1" wp14:anchorId="52156856" wp14:editId="4CCDD82D">
                <wp:simplePos x="0" y="0"/>
                <wp:positionH relativeFrom="column">
                  <wp:posOffset>930303</wp:posOffset>
                </wp:positionH>
                <wp:positionV relativeFrom="paragraph">
                  <wp:posOffset>63334</wp:posOffset>
                </wp:positionV>
                <wp:extent cx="4823404" cy="0"/>
                <wp:effectExtent l="0" t="0" r="0" b="0"/>
                <wp:wrapNone/>
                <wp:docPr id="1736027846" name="Straight Connector 3" descr="P16#y1"/>
                <wp:cNvGraphicFramePr/>
                <a:graphic xmlns:a="http://schemas.openxmlformats.org/drawingml/2006/main">
                  <a:graphicData uri="http://schemas.microsoft.com/office/word/2010/wordprocessingShape">
                    <wps:wsp>
                      <wps:cNvCnPr/>
                      <wps:spPr>
                        <a:xfrm>
                          <a:off x="0" y="0"/>
                          <a:ext cx="4823404"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143E7658" id="Straight Connector 3" o:spid="_x0000_s1026" alt="P16#y1"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3.25pt,5pt" to="453.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" strokecolor="#156082 [3204]" strokeweight="1pt">
                <v:stroke joinstyle="miter"/>
              </v:line>
            </w:pict>
          </mc:Fallback>
        </mc:AlternateContent>
      </w:r>
    </w:p>
    <w:p w14:paraId="6DB434B7" w14:textId="3ED4C7E9" w:rsidR="00A17BF7" w:rsidRDefault="00402372" w:rsidP="003C744C">
      <w:pPr>
        <w:pStyle w:val="Heading2"/>
      </w:pPr>
      <w:r>
        <w:lastRenderedPageBreak/>
        <w:t>THE ISSUE</w:t>
      </w:r>
    </w:p>
    <w:p w14:paraId="69AF1EEB" w14:textId="18539177" w:rsidR="00457FD3" w:rsidRPr="003C744C" w:rsidRDefault="00423BCA" w:rsidP="001D19F0">
      <w:pPr>
        <w:jc w:val="both"/>
        <w:rPr>
          <w:b/>
          <w:bCs/>
        </w:rPr>
      </w:pPr>
      <w:r>
        <w:rPr>
          <w:b/>
          <w:bCs/>
        </w:rPr>
        <w:t>I</w:t>
      </w:r>
      <w:r w:rsidR="00457FD3" w:rsidRPr="003C744C">
        <w:rPr>
          <w:b/>
          <w:bCs/>
        </w:rPr>
        <w:t xml:space="preserve">nvestment in SRHR has far-reaching </w:t>
      </w:r>
      <w:r>
        <w:rPr>
          <w:b/>
          <w:bCs/>
        </w:rPr>
        <w:t>impact</w:t>
      </w:r>
      <w:r w:rsidR="00457FD3" w:rsidRPr="003C744C">
        <w:rPr>
          <w:b/>
          <w:bCs/>
        </w:rPr>
        <w:t xml:space="preserve"> that extend</w:t>
      </w:r>
      <w:r>
        <w:rPr>
          <w:b/>
          <w:bCs/>
        </w:rPr>
        <w:t>s</w:t>
      </w:r>
      <w:r w:rsidR="00457FD3" w:rsidRPr="003C744C">
        <w:rPr>
          <w:b/>
          <w:bCs/>
        </w:rPr>
        <w:t xml:space="preserve"> well beyond health, affecting social equality, economic development, and regional stability.</w:t>
      </w:r>
    </w:p>
    <w:p w14:paraId="647005EB" w14:textId="5667A6A0" w:rsidR="00BC0DE4" w:rsidRPr="00753F5B" w:rsidRDefault="00BC0DE4" w:rsidP="001D19F0">
      <w:pPr>
        <w:jc w:val="both"/>
        <w:rPr>
          <w:b/>
          <w:bCs/>
        </w:rPr>
      </w:pPr>
      <w:r>
        <w:rPr>
          <w:rStyle w:val="Strong"/>
        </w:rPr>
        <w:t>A lack of access to SRHR reinforces gender inequality and disempowerment.</w:t>
      </w:r>
      <w:r>
        <w:t xml:space="preserve"> When SRHR services </w:t>
      </w:r>
      <w:r w:rsidR="005F70EB">
        <w:t xml:space="preserve">and education </w:t>
      </w:r>
      <w:r>
        <w:t xml:space="preserve">are unavailable or unaffordable, women and girls </w:t>
      </w:r>
      <w:r w:rsidR="00975387">
        <w:t xml:space="preserve">cannot </w:t>
      </w:r>
      <w:r>
        <w:t>make informed choices about their reproductive lives. They are more likely to experience early pregnancy, forced marriage, and gender-based violence, which directly reduces their prospect of completing basic and higher education, entering the workforce, and participating in public life</w:t>
      </w:r>
      <w:r w:rsidR="00711658">
        <w:rPr>
          <w:rFonts w:ascii="ZWAdobeF" w:hAnsi="ZWAdobeF" w:cs="ZWAdobeF"/>
          <w:sz w:val="2"/>
          <w:szCs w:val="2"/>
        </w:rPr>
        <w:t>1F</w:t>
      </w:r>
      <w:r w:rsidR="00B07059">
        <w:rPr>
          <w:rStyle w:val="FootnoteReference"/>
        </w:rPr>
        <w:footnoteReference w:id="2"/>
      </w:r>
      <w:r>
        <w:t>. This perpetuates cycles of economic disadvantage and exclusion for women and girls, sustains systemic discrimination, and undermines human rights and gender equality</w:t>
      </w:r>
      <w:r w:rsidR="00711658">
        <w:rPr>
          <w:rFonts w:ascii="ZWAdobeF" w:hAnsi="ZWAdobeF" w:cs="ZWAdobeF"/>
          <w:sz w:val="2"/>
          <w:szCs w:val="2"/>
        </w:rPr>
        <w:t>2F</w:t>
      </w:r>
      <w:r w:rsidR="00B07059">
        <w:rPr>
          <w:rStyle w:val="FootnoteReference"/>
        </w:rPr>
        <w:footnoteReference w:id="3"/>
      </w:r>
      <w:r>
        <w:t>.</w:t>
      </w:r>
    </w:p>
    <w:p w14:paraId="389FE97B" w14:textId="2766404C" w:rsidR="00BC0DE4" w:rsidRDefault="00BC0DE4" w:rsidP="001D19F0">
      <w:pPr>
        <w:jc w:val="both"/>
      </w:pPr>
      <w:r>
        <w:rPr>
          <w:rStyle w:val="Strong"/>
        </w:rPr>
        <w:t>Failure to invest in SRHR imposes significant economic costs and deepens cycles of poverty.</w:t>
      </w:r>
      <w:r>
        <w:t xml:space="preserve"> </w:t>
      </w:r>
      <w:r w:rsidR="009D6735">
        <w:t>Unmet</w:t>
      </w:r>
      <w:r w:rsidR="00D936E7">
        <w:t xml:space="preserve"> </w:t>
      </w:r>
      <w:r w:rsidR="00EA737D">
        <w:t>SRHR</w:t>
      </w:r>
      <w:r>
        <w:t xml:space="preserve"> </w:t>
      </w:r>
      <w:r w:rsidR="009D6735">
        <w:t>need</w:t>
      </w:r>
      <w:r w:rsidR="00B90F31">
        <w:t>s</w:t>
      </w:r>
      <w:r w:rsidR="009D6735">
        <w:t xml:space="preserve"> </w:t>
      </w:r>
      <w:r>
        <w:t>lead to reduced workforce participation, increased dependency ratios, and higher health expenditures</w:t>
      </w:r>
      <w:r w:rsidR="00711658">
        <w:rPr>
          <w:rFonts w:ascii="ZWAdobeF" w:hAnsi="ZWAdobeF" w:cs="ZWAdobeF"/>
          <w:sz w:val="2"/>
          <w:szCs w:val="2"/>
        </w:rPr>
        <w:t>3F</w:t>
      </w:r>
      <w:r w:rsidR="00B07059">
        <w:rPr>
          <w:rStyle w:val="FootnoteReference"/>
        </w:rPr>
        <w:footnoteReference w:id="4"/>
      </w:r>
      <w:r>
        <w:t>. Individuals, their families, and communities are more likely to fall into poverty</w:t>
      </w:r>
      <w:r w:rsidR="00711658">
        <w:rPr>
          <w:rFonts w:ascii="ZWAdobeF" w:hAnsi="ZWAdobeF" w:cs="ZWAdobeF"/>
          <w:sz w:val="2"/>
          <w:szCs w:val="2"/>
        </w:rPr>
        <w:t>4F</w:t>
      </w:r>
      <w:r w:rsidR="00B07059">
        <w:rPr>
          <w:rStyle w:val="FootnoteReference"/>
        </w:rPr>
        <w:footnoteReference w:id="5"/>
      </w:r>
      <w:r>
        <w:t>. More broadly, economies lose the full contribution of the population—particularly women and youth.</w:t>
      </w:r>
    </w:p>
    <w:p w14:paraId="69CCD6BE" w14:textId="18BD7B81" w:rsidR="00BC0DE4" w:rsidRDefault="00BC0DE4" w:rsidP="001D19F0">
      <w:pPr>
        <w:jc w:val="both"/>
        <w:rPr>
          <w:b/>
          <w:bCs/>
        </w:rPr>
      </w:pPr>
      <w:r>
        <w:rPr>
          <w:rStyle w:val="Strong"/>
        </w:rPr>
        <w:t>Persistent gaps in access to SRHR fuels inequality and social exclusion.</w:t>
      </w:r>
      <w:r>
        <w:br/>
        <w:t>Adolescents, rural populations, LGBTQI+ people, and people with disabilities often face the greatest barriers to</w:t>
      </w:r>
      <w:r w:rsidR="0047167A">
        <w:t xml:space="preserve"> </w:t>
      </w:r>
      <w:r>
        <w:t>care</w:t>
      </w:r>
      <w:r w:rsidR="0047167A">
        <w:t xml:space="preserve"> w</w:t>
      </w:r>
      <w:r w:rsidR="00FA30B4">
        <w:t>ithout targeted investment</w:t>
      </w:r>
      <w:r w:rsidR="00711658">
        <w:rPr>
          <w:rFonts w:ascii="ZWAdobeF" w:hAnsi="ZWAdobeF" w:cs="ZWAdobeF"/>
          <w:sz w:val="2"/>
          <w:szCs w:val="2"/>
        </w:rPr>
        <w:t>5F</w:t>
      </w:r>
      <w:r w:rsidR="00B07059">
        <w:rPr>
          <w:rStyle w:val="FootnoteReference"/>
        </w:rPr>
        <w:footnoteReference w:id="6"/>
      </w:r>
      <w:r>
        <w:t xml:space="preserve">. These gaps widen health disparities and entrench intergenerational disadvantage. </w:t>
      </w:r>
    </w:p>
    <w:p w14:paraId="7E4201B2" w14:textId="3837B9D0" w:rsidR="00457FD3" w:rsidRDefault="004D6E6E" w:rsidP="001D19F0">
      <w:pPr>
        <w:jc w:val="both"/>
      </w:pPr>
      <w:r>
        <w:rPr>
          <w:rStyle w:val="Strong"/>
        </w:rPr>
        <w:t>Inadequate investment</w:t>
      </w:r>
      <w:r w:rsidR="00457FD3">
        <w:rPr>
          <w:rStyle w:val="Strong"/>
        </w:rPr>
        <w:t xml:space="preserve"> in SRHR increases the burden on health systems and limits their ability to meet the broader health needs of communities.</w:t>
      </w:r>
      <w:r w:rsidR="00457FD3">
        <w:t xml:space="preserve"> Preventable reproductive health issues—such as unsafe abortion, maternal complications, and untreated sexually transmitted infections (STIs)—</w:t>
      </w:r>
      <w:r w:rsidR="0064594A">
        <w:t>draw on</w:t>
      </w:r>
      <w:r w:rsidR="0097170E">
        <w:t xml:space="preserve"> </w:t>
      </w:r>
      <w:r w:rsidR="00457FD3">
        <w:t>limited resources and reduce system efficiency</w:t>
      </w:r>
      <w:r w:rsidR="00711658">
        <w:rPr>
          <w:rFonts w:ascii="ZWAdobeF" w:hAnsi="ZWAdobeF" w:cs="ZWAdobeF"/>
          <w:sz w:val="2"/>
          <w:szCs w:val="2"/>
        </w:rPr>
        <w:t>6F</w:t>
      </w:r>
      <w:r w:rsidR="00B07059">
        <w:rPr>
          <w:rStyle w:val="FootnoteReference"/>
        </w:rPr>
        <w:footnoteReference w:id="7"/>
      </w:r>
      <w:r w:rsidR="00457FD3">
        <w:t>. This weakens the capacity of health services to respond to other priorities, widening health inequities and undermining efforts to strengthen inclusive and responsive health systems.</w:t>
      </w:r>
    </w:p>
    <w:p w14:paraId="4CE87760" w14:textId="4CE03202" w:rsidR="00457FD3" w:rsidRDefault="00457FD3" w:rsidP="001D19F0">
      <w:pPr>
        <w:jc w:val="both"/>
      </w:pPr>
      <w:r>
        <w:rPr>
          <w:rStyle w:val="Strong"/>
        </w:rPr>
        <w:lastRenderedPageBreak/>
        <w:t>Neglecting SRHR contributes to social instability by reinforcing inequality, exclusion, and mistrust.</w:t>
      </w:r>
      <w:r>
        <w:t xml:space="preserve"> A lack of access to SRHR increases vulnerability—especially for women, adolescents, and marginalised groups—and </w:t>
      </w:r>
      <w:r w:rsidR="00060A97">
        <w:t>erodes public trust in</w:t>
      </w:r>
      <w:r>
        <w:t xml:space="preserve"> </w:t>
      </w:r>
      <w:r w:rsidR="00060A97">
        <w:t xml:space="preserve">healthcare </w:t>
      </w:r>
      <w:r>
        <w:t>institutions</w:t>
      </w:r>
      <w:r w:rsidR="00711658">
        <w:rPr>
          <w:rFonts w:ascii="ZWAdobeF" w:hAnsi="ZWAdobeF" w:cs="ZWAdobeF"/>
          <w:sz w:val="2"/>
          <w:szCs w:val="2"/>
        </w:rPr>
        <w:t>7F</w:t>
      </w:r>
      <w:r w:rsidR="002E0367">
        <w:rPr>
          <w:rStyle w:val="FootnoteReference"/>
        </w:rPr>
        <w:footnoteReference w:id="8"/>
      </w:r>
      <w:r>
        <w:t>.</w:t>
      </w:r>
      <w:r w:rsidR="00E81AB0">
        <w:t xml:space="preserve"> </w:t>
      </w:r>
      <w:r>
        <w:t>Without SRHR, the conditions that drive unrest and violence—such as unmet needs, gender-based harm, and disempowerment—</w:t>
      </w:r>
      <w:r w:rsidR="00E81AB0">
        <w:t>remain</w:t>
      </w:r>
      <w:r>
        <w:t xml:space="preserve"> unaddressed. </w:t>
      </w:r>
    </w:p>
    <w:p w14:paraId="5049FE5F" w14:textId="60B6E63B" w:rsidR="00954D43" w:rsidRPr="0066635B" w:rsidRDefault="00954D43" w:rsidP="001D19F0">
      <w:pPr>
        <w:jc w:val="both"/>
        <w:rPr>
          <w:b/>
          <w:bCs/>
        </w:rPr>
      </w:pPr>
      <w:r>
        <w:rPr>
          <w:noProof/>
        </w:rPr>
        <mc:AlternateContent>
          <mc:Choice Requires="wps">
            <w:drawing>
              <wp:anchor distT="0" distB="0" distL="114300" distR="114300" simplePos="0" relativeHeight="251703296" behindDoc="0" locked="0" layoutInCell="1" allowOverlap="1" wp14:anchorId="6C990805" wp14:editId="08CB82ED">
                <wp:simplePos x="0" y="0"/>
                <wp:positionH relativeFrom="column">
                  <wp:posOffset>911860</wp:posOffset>
                </wp:positionH>
                <wp:positionV relativeFrom="paragraph">
                  <wp:posOffset>96520</wp:posOffset>
                </wp:positionV>
                <wp:extent cx="5043948" cy="0"/>
                <wp:effectExtent l="0" t="0" r="0" b="0"/>
                <wp:wrapNone/>
                <wp:docPr id="107930533" name="Straight Connector 3" descr="P24#y1"/>
                <wp:cNvGraphicFramePr/>
                <a:graphic xmlns:a="http://schemas.openxmlformats.org/drawingml/2006/main">
                  <a:graphicData uri="http://schemas.microsoft.com/office/word/2010/wordprocessingShape">
                    <wps:wsp>
                      <wps:cNvCnPr/>
                      <wps:spPr>
                        <a:xfrm>
                          <a:off x="0" y="0"/>
                          <a:ext cx="5043948"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51926E78" id="Straight Connector 3" o:spid="_x0000_s1026" alt="P24#y1" style="position:absolute;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1.8pt,7.6pt" to="468.95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" strokecolor="#156082 [3204]" strokeweight="1pt">
                <v:stroke joinstyle="miter"/>
              </v:line>
            </w:pict>
          </mc:Fallback>
        </mc:AlternateContent>
      </w:r>
    </w:p>
    <w:p w14:paraId="662D35EE" w14:textId="4EFA290B" w:rsidR="00505DB5" w:rsidRPr="00505DB5" w:rsidRDefault="00EC0FD7" w:rsidP="001D19F0">
      <w:pPr>
        <w:pStyle w:val="Heading2"/>
        <w:jc w:val="both"/>
      </w:pPr>
      <w:r>
        <w:t>Opportunities</w:t>
      </w:r>
    </w:p>
    <w:p w14:paraId="75A9E293" w14:textId="140B1EFE" w:rsidR="00F16E5F" w:rsidRPr="00F16E5F" w:rsidRDefault="00146CD6" w:rsidP="001D19F0">
      <w:pPr>
        <w:jc w:val="both"/>
        <w:rPr>
          <w:b/>
          <w:bCs/>
        </w:rPr>
      </w:pPr>
      <w:r>
        <w:rPr>
          <w:b/>
          <w:bCs/>
        </w:rPr>
        <w:t>SRHR are a foundation of</w:t>
      </w:r>
      <w:r w:rsidR="00F16E5F" w:rsidRPr="00F16E5F">
        <w:rPr>
          <w:b/>
          <w:bCs/>
        </w:rPr>
        <w:t xml:space="preserve"> healthy, equitable, and resilient societies.</w:t>
      </w:r>
      <w:r w:rsidR="00F16E5F">
        <w:rPr>
          <w:b/>
          <w:bCs/>
        </w:rPr>
        <w:t xml:space="preserve"> </w:t>
      </w:r>
      <w:r w:rsidR="00F16E5F" w:rsidRPr="00F16E5F">
        <w:t>When individuals can access quality SRHR services, they are more likely to thrive physically, mentally, and socially. Integrating SRHR into primary health care reduces maternal mortality, prevents sexually transmitted infections, and promotes mental health by safeguarding reproductive autonomy</w:t>
      </w:r>
      <w:r w:rsidR="00711658">
        <w:rPr>
          <w:rFonts w:ascii="ZWAdobeF" w:hAnsi="ZWAdobeF" w:cs="ZWAdobeF"/>
          <w:sz w:val="2"/>
          <w:szCs w:val="2"/>
        </w:rPr>
        <w:t>8F</w:t>
      </w:r>
      <w:r w:rsidR="002E0367">
        <w:rPr>
          <w:rStyle w:val="FootnoteReference"/>
        </w:rPr>
        <w:footnoteReference w:id="9"/>
      </w:r>
      <w:r w:rsidR="00F16E5F" w:rsidRPr="00F16E5F">
        <w:t>. These investments also strengthen health systems</w:t>
      </w:r>
      <w:r w:rsidR="00711658">
        <w:rPr>
          <w:rFonts w:ascii="ZWAdobeF" w:hAnsi="ZWAdobeF" w:cs="ZWAdobeF"/>
          <w:sz w:val="2"/>
          <w:szCs w:val="2"/>
        </w:rPr>
        <w:t>9F</w:t>
      </w:r>
      <w:r w:rsidR="002E0367">
        <w:rPr>
          <w:rStyle w:val="FootnoteReference"/>
        </w:rPr>
        <w:footnoteReference w:id="10"/>
      </w:r>
      <w:r w:rsidR="00F16E5F" w:rsidRPr="00F16E5F">
        <w:t>, improving their capacity to respond to wider public health challenges and crises.</w:t>
      </w:r>
    </w:p>
    <w:p w14:paraId="11662369" w14:textId="09B0C0E8" w:rsidR="00F16E5F" w:rsidRPr="00F16E5F" w:rsidRDefault="00F16E5F" w:rsidP="001D19F0">
      <w:pPr>
        <w:jc w:val="both"/>
      </w:pPr>
      <w:r w:rsidRPr="00F16E5F">
        <w:rPr>
          <w:b/>
          <w:bCs/>
        </w:rPr>
        <w:t xml:space="preserve">Education and awareness </w:t>
      </w:r>
      <w:r w:rsidR="00146CD6">
        <w:rPr>
          <w:b/>
          <w:bCs/>
        </w:rPr>
        <w:t>improves</w:t>
      </w:r>
      <w:r w:rsidRPr="00F16E5F">
        <w:rPr>
          <w:b/>
          <w:bCs/>
        </w:rPr>
        <w:t xml:space="preserve"> SRHR outcomes and long-term wellbeing.</w:t>
      </w:r>
      <w:r>
        <w:rPr>
          <w:b/>
          <w:bCs/>
        </w:rPr>
        <w:t xml:space="preserve"> </w:t>
      </w:r>
      <w:r w:rsidRPr="00F16E5F">
        <w:t>Comprehensive sexuality education equips individuals—especially adolescents—with the knowledge and skills to make informed choices, reducing high-risk behaviours and supporting lifelong health</w:t>
      </w:r>
      <w:r w:rsidR="00711658">
        <w:rPr>
          <w:rFonts w:ascii="ZWAdobeF" w:hAnsi="ZWAdobeF" w:cs="ZWAdobeF"/>
          <w:sz w:val="2"/>
          <w:szCs w:val="2"/>
        </w:rPr>
        <w:t>10F</w:t>
      </w:r>
      <w:r w:rsidR="002E0367">
        <w:rPr>
          <w:rStyle w:val="FootnoteReference"/>
        </w:rPr>
        <w:footnoteReference w:id="11"/>
      </w:r>
      <w:r w:rsidRPr="00F16E5F">
        <w:t>. Raising awareness about SRHR rights and services empowers people to advocate for their own health and that of their communities, creating a more informed, engaged, and health-literate society.</w:t>
      </w:r>
    </w:p>
    <w:p w14:paraId="4AEC04DB" w14:textId="180C4583" w:rsidR="00954D43" w:rsidRPr="002D279C" w:rsidRDefault="00F16E5F" w:rsidP="002D279C">
      <w:pPr>
        <w:jc w:val="both"/>
      </w:pPr>
      <w:r w:rsidRPr="00F16E5F">
        <w:rPr>
          <w:b/>
          <w:bCs/>
        </w:rPr>
        <w:t xml:space="preserve">SRHR investments </w:t>
      </w:r>
      <w:r w:rsidR="001A434C">
        <w:rPr>
          <w:b/>
          <w:bCs/>
        </w:rPr>
        <w:t>that prioritise</w:t>
      </w:r>
      <w:r w:rsidRPr="00F16E5F">
        <w:rPr>
          <w:b/>
          <w:bCs/>
        </w:rPr>
        <w:t xml:space="preserve"> equity and inclusion ensure no one is left behind.</w:t>
      </w:r>
      <w:r>
        <w:rPr>
          <w:b/>
          <w:bCs/>
        </w:rPr>
        <w:t xml:space="preserve"> </w:t>
      </w:r>
      <w:r w:rsidRPr="00F16E5F">
        <w:t>Applying a GEDSI (gender equality, disability, and social inclusion) lens ensures that services respond to the unique needs of women and girls, LGBTQI+ individuals, people with disabilities, and those in remote or marginalised settings. Policy reform and community-led advocacy dismantle discrimination, shift harmful norms, and uphold human rights. Together, these actions foster social cohesion, reduce intergenerational disadvantage, and enable full participation in society for all.</w:t>
      </w:r>
    </w:p>
    <w:p w14:paraId="0F777454" w14:textId="39AC5D98" w:rsidR="007A648A" w:rsidRDefault="00274FFA" w:rsidP="00954D43">
      <w:pPr>
        <w:pStyle w:val="Heading2"/>
        <w:jc w:val="both"/>
      </w:pPr>
      <w:r>
        <w:rPr>
          <w:noProof/>
        </w:rPr>
        <w:lastRenderedPageBreak/>
        <mc:AlternateContent>
          <mc:Choice Requires="wps">
            <w:drawing>
              <wp:anchor distT="0" distB="0" distL="114300" distR="114300" simplePos="0" relativeHeight="251705344" behindDoc="0" locked="0" layoutInCell="1" allowOverlap="1" wp14:anchorId="519A346C" wp14:editId="46C7FAC4">
                <wp:simplePos x="0" y="0"/>
                <wp:positionH relativeFrom="column">
                  <wp:posOffset>920299</wp:posOffset>
                </wp:positionH>
                <wp:positionV relativeFrom="paragraph">
                  <wp:posOffset>-159918</wp:posOffset>
                </wp:positionV>
                <wp:extent cx="5043948" cy="0"/>
                <wp:effectExtent l="0" t="0" r="0" b="0"/>
                <wp:wrapNone/>
                <wp:docPr id="1227828733" name="Straight Connector 3" descr="P29#y1"/>
                <wp:cNvGraphicFramePr/>
                <a:graphic xmlns:a="http://schemas.openxmlformats.org/drawingml/2006/main">
                  <a:graphicData uri="http://schemas.microsoft.com/office/word/2010/wordprocessingShape">
                    <wps:wsp>
                      <wps:cNvCnPr/>
                      <wps:spPr>
                        <a:xfrm>
                          <a:off x="0" y="0"/>
                          <a:ext cx="5043948"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05BA5F51" id="Straight Connector 3" o:spid="_x0000_s1026" alt="P29#y1" style="position:absolute;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45pt,-12.6pt" to="469.6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" strokecolor="#156082 [3204]" strokeweight="1pt">
                <v:stroke joinstyle="miter"/>
              </v:line>
            </w:pict>
          </mc:Fallback>
        </mc:AlternateContent>
      </w:r>
      <w:r w:rsidR="00544624">
        <w:t>Recommendation</w:t>
      </w:r>
      <w:r w:rsidR="00954D43">
        <w:t>s</w:t>
      </w:r>
    </w:p>
    <w:p w14:paraId="1A5265F0" w14:textId="01776490" w:rsidR="000E4C8B" w:rsidRPr="000E4C8B" w:rsidRDefault="000762F4" w:rsidP="001D19F0">
      <w:pPr>
        <w:jc w:val="both"/>
      </w:pPr>
      <w:r>
        <w:t>For greater investment, t</w:t>
      </w:r>
      <w:r w:rsidR="000E4C8B">
        <w:t>he International SRHR Consortium urges the Australian government and partners to:</w:t>
      </w:r>
    </w:p>
    <w:p w14:paraId="52CC1519" w14:textId="59406AD4" w:rsidR="007900D4" w:rsidRPr="007900D4" w:rsidRDefault="007900D4" w:rsidP="001D19F0">
      <w:pPr>
        <w:pStyle w:val="ListParagraph"/>
        <w:numPr>
          <w:ilvl w:val="0"/>
          <w:numId w:val="17"/>
        </w:numPr>
        <w:ind w:left="1843" w:hanging="425"/>
        <w:jc w:val="both"/>
      </w:pPr>
      <w:r w:rsidRPr="007900D4">
        <w:rPr>
          <w:b/>
          <w:bCs/>
        </w:rPr>
        <w:t>Promote SRHR as a foundation for healthy and equitable societies.</w:t>
      </w:r>
      <w:r>
        <w:rPr>
          <w:b/>
          <w:bCs/>
        </w:rPr>
        <w:t xml:space="preserve"> </w:t>
      </w:r>
      <w:r w:rsidRPr="007900D4">
        <w:t>Emphasise how SRHR reduces mortality, prevents disease, and enables women, adolescents, and other marginalised populations to participate fully in social and economic life.</w:t>
      </w:r>
    </w:p>
    <w:p w14:paraId="7A524947" w14:textId="5546F9B7" w:rsidR="007900D4" w:rsidRPr="007900D4" w:rsidRDefault="007900D4" w:rsidP="001D19F0">
      <w:pPr>
        <w:pStyle w:val="ListParagraph"/>
        <w:numPr>
          <w:ilvl w:val="0"/>
          <w:numId w:val="17"/>
        </w:numPr>
        <w:ind w:left="1843" w:hanging="425"/>
        <w:jc w:val="both"/>
        <w:rPr>
          <w:b/>
          <w:bCs/>
        </w:rPr>
      </w:pPr>
      <w:r w:rsidRPr="007900D4">
        <w:rPr>
          <w:b/>
          <w:bCs/>
        </w:rPr>
        <w:t>Use economic and social impact evidence to build the case.</w:t>
      </w:r>
      <w:r>
        <w:rPr>
          <w:b/>
          <w:bCs/>
        </w:rPr>
        <w:t xml:space="preserve"> </w:t>
      </w:r>
      <w:r w:rsidRPr="007900D4">
        <w:t>Demonstrate that SRHR investments reduce long-term healthcare costs, support educational attainment, and boost workforce productivity, especially among young people and women.</w:t>
      </w:r>
    </w:p>
    <w:p w14:paraId="41D229E5" w14:textId="179588F8" w:rsidR="007900D4" w:rsidRPr="007900D4" w:rsidRDefault="007900D4" w:rsidP="001D19F0">
      <w:pPr>
        <w:pStyle w:val="ListParagraph"/>
        <w:numPr>
          <w:ilvl w:val="0"/>
          <w:numId w:val="17"/>
        </w:numPr>
        <w:ind w:left="1843" w:hanging="425"/>
        <w:jc w:val="both"/>
        <w:rPr>
          <w:b/>
          <w:bCs/>
        </w:rPr>
      </w:pPr>
      <w:r w:rsidRPr="007900D4">
        <w:rPr>
          <w:b/>
          <w:bCs/>
        </w:rPr>
        <w:t>Generate community-level demand for SRHR services.</w:t>
      </w:r>
      <w:r>
        <w:rPr>
          <w:b/>
          <w:bCs/>
        </w:rPr>
        <w:t xml:space="preserve"> </w:t>
      </w:r>
      <w:r w:rsidRPr="007900D4">
        <w:t>Engage trusted local leaders, civil society organisations, and advocacy networks to promote culturally relevant information and reduce stigma, enabling communities to take ownership of their SRHR needs.</w:t>
      </w:r>
    </w:p>
    <w:p w14:paraId="369E0ED5" w14:textId="45D218B8" w:rsidR="007900D4" w:rsidRPr="007900D4" w:rsidRDefault="007900D4" w:rsidP="001D19F0">
      <w:pPr>
        <w:pStyle w:val="ListParagraph"/>
        <w:numPr>
          <w:ilvl w:val="0"/>
          <w:numId w:val="17"/>
        </w:numPr>
        <w:ind w:left="1843" w:hanging="425"/>
        <w:jc w:val="both"/>
        <w:rPr>
          <w:b/>
          <w:bCs/>
        </w:rPr>
      </w:pPr>
      <w:r w:rsidRPr="007900D4">
        <w:rPr>
          <w:b/>
          <w:bCs/>
        </w:rPr>
        <w:t>Align SRHR with national and regional development priorities.</w:t>
      </w:r>
      <w:r>
        <w:rPr>
          <w:b/>
          <w:bCs/>
        </w:rPr>
        <w:t xml:space="preserve"> </w:t>
      </w:r>
      <w:r w:rsidRPr="007900D4">
        <w:t>Position SRHR within key frameworks such as the Pacific 2050 Strategy, climate resilience plans, and universal health coverage agendas, reinforcing its relevance to health, gender, and sustainable development.</w:t>
      </w:r>
    </w:p>
    <w:p w14:paraId="68ABD6A5" w14:textId="4DB948B0" w:rsidR="007900D4" w:rsidRPr="007900D4" w:rsidRDefault="007900D4" w:rsidP="001D19F0">
      <w:pPr>
        <w:pStyle w:val="ListParagraph"/>
        <w:numPr>
          <w:ilvl w:val="0"/>
          <w:numId w:val="17"/>
        </w:numPr>
        <w:ind w:left="1843" w:hanging="425"/>
        <w:jc w:val="both"/>
        <w:rPr>
          <w:b/>
          <w:bCs/>
        </w:rPr>
      </w:pPr>
      <w:r w:rsidRPr="007900D4">
        <w:rPr>
          <w:b/>
          <w:bCs/>
        </w:rPr>
        <w:t>Promote whole-of-government and cross-sectoral approaches.</w:t>
      </w:r>
      <w:r>
        <w:rPr>
          <w:b/>
          <w:bCs/>
        </w:rPr>
        <w:t xml:space="preserve"> </w:t>
      </w:r>
      <w:r w:rsidRPr="007900D4">
        <w:t>Strengthen collaboration across ministries of health, education, gender, youth, and finance to integrate SRHR into school curricula, health policies, and budgeting systems.</w:t>
      </w:r>
    </w:p>
    <w:p w14:paraId="23566CE8" w14:textId="5287CC37" w:rsidR="007900D4" w:rsidRPr="007900D4" w:rsidRDefault="007900D4" w:rsidP="001D19F0">
      <w:pPr>
        <w:pStyle w:val="ListParagraph"/>
        <w:numPr>
          <w:ilvl w:val="0"/>
          <w:numId w:val="17"/>
        </w:numPr>
        <w:ind w:left="1843" w:hanging="425"/>
        <w:jc w:val="both"/>
      </w:pPr>
      <w:r w:rsidRPr="007900D4">
        <w:rPr>
          <w:b/>
          <w:bCs/>
        </w:rPr>
        <w:t>Advocate for long-term, predictable financing.</w:t>
      </w:r>
      <w:r>
        <w:rPr>
          <w:b/>
          <w:bCs/>
        </w:rPr>
        <w:t xml:space="preserve"> </w:t>
      </w:r>
      <w:r w:rsidRPr="007900D4">
        <w:t>Move away from fragmented and short-term funding by securing multi-year budget commitments to support structural improvements, such as training midwives and strengthening rural and community-based health services.</w:t>
      </w:r>
    </w:p>
    <w:p w14:paraId="7B899820" w14:textId="5CE53475" w:rsidR="00A23711" w:rsidRDefault="00855E8C" w:rsidP="001D19F0">
      <w:pPr>
        <w:jc w:val="both"/>
      </w:pPr>
      <w:r>
        <w:rPr>
          <w:rStyle w:val="Strong"/>
        </w:rPr>
        <w:t>Scaling up investment in SRHR is a strategic priority for health, equity, and sustainable development in the region</w:t>
      </w:r>
      <w:r w:rsidR="00711658">
        <w:rPr>
          <w:rStyle w:val="Strong"/>
          <w:rFonts w:ascii="ZWAdobeF" w:hAnsi="ZWAdobeF" w:cs="ZWAdobeF"/>
          <w:b w:val="0"/>
          <w:sz w:val="2"/>
          <w:szCs w:val="2"/>
        </w:rPr>
        <w:t>11F</w:t>
      </w:r>
      <w:r w:rsidR="00B07059">
        <w:rPr>
          <w:rStyle w:val="FootnoteReference"/>
          <w:b/>
          <w:bCs/>
        </w:rPr>
        <w:footnoteReference w:id="12"/>
      </w:r>
      <w:r>
        <w:rPr>
          <w:rStyle w:val="Strong"/>
        </w:rPr>
        <w:t>.</w:t>
      </w:r>
      <w:r>
        <w:t xml:space="preserve"> By embedding SRHR into national priorities and financing strategies, governments and partners can </w:t>
      </w:r>
      <w:r w:rsidR="00460493">
        <w:t>achieve</w:t>
      </w:r>
      <w:r>
        <w:t xml:space="preserve"> transformative </w:t>
      </w:r>
      <w:r w:rsidR="00460493">
        <w:t>impact</w:t>
      </w:r>
      <w:r>
        <w:t xml:space="preserve"> for current and future generations.</w:t>
      </w:r>
    </w:p>
    <w:p w14:paraId="79E9FDC3" w14:textId="77777777" w:rsidR="00855E8C" w:rsidRDefault="00855E8C" w:rsidP="003C744C"/>
    <w:p w14:paraId="50EA72E1" w14:textId="77777777" w:rsidR="00B07059" w:rsidRDefault="00B07059" w:rsidP="00954D43">
      <w:pPr>
        <w:ind w:left="0"/>
      </w:pPr>
    </w:p>
    <w:p w14:paraId="1358C508" w14:textId="60EF2D55" w:rsidR="003563A0" w:rsidRDefault="003563A0" w:rsidP="003C744C">
      <w:r w:rsidRPr="004F01CB">
        <w:lastRenderedPageBreak/>
        <w:t>Visi</w:t>
      </w:r>
      <w:r>
        <w:t xml:space="preserve">t </w:t>
      </w:r>
      <w:hyperlink r:id="rId9" w:history="1">
        <w:r w:rsidRPr="00530DEA">
          <w:rPr>
            <w:rStyle w:val="Hyperlink"/>
            <w:rFonts w:ascii="Arial" w:hAnsi="Arial" w:cs="Arial"/>
          </w:rPr>
          <w:t>International Sexual and Reproductive Health and Rights Consortium</w:t>
        </w:r>
      </w:hyperlink>
      <w:r>
        <w:t xml:space="preserve"> </w:t>
      </w:r>
      <w:r w:rsidRPr="004F01CB">
        <w:t xml:space="preserve">for further </w:t>
      </w:r>
      <w:r>
        <w:t>reading or to find out more about the International SRHR Consortium.</w:t>
      </w:r>
    </w:p>
    <w:p w14:paraId="15A420EF" w14:textId="5D6426AA" w:rsidR="00987142" w:rsidRPr="003563A0" w:rsidRDefault="6C86BE5E" w:rsidP="003C744C">
      <w:r>
        <w:t>Updated 30 July 2025, Version 1.0</w:t>
      </w:r>
    </w:p>
    <w:p w14:paraId="3A76DC81" w14:textId="1EA67999" w:rsidR="00987142" w:rsidRDefault="00666CE4" w:rsidP="003C744C">
      <w:pPr>
        <w:pStyle w:val="Heading2"/>
      </w:pPr>
      <w:r>
        <w:rPr>
          <w:noProof/>
        </w:rPr>
        <w:drawing>
          <wp:anchor distT="0" distB="0" distL="114300" distR="114300" simplePos="0" relativeHeight="251681792" behindDoc="0" locked="0" layoutInCell="1" allowOverlap="1" wp14:anchorId="444E1ED3" wp14:editId="7D3E9EB5">
            <wp:simplePos x="0" y="0"/>
            <wp:positionH relativeFrom="column">
              <wp:posOffset>988060</wp:posOffset>
            </wp:positionH>
            <wp:positionV relativeFrom="paragraph">
              <wp:posOffset>45551</wp:posOffset>
            </wp:positionV>
            <wp:extent cx="1659890" cy="700405"/>
            <wp:effectExtent l="0" t="0" r="0" b="0"/>
            <wp:wrapNone/>
            <wp:docPr id="1978306678" name="Picture 1" descr="P42#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306678" name="Picture 1" descr="P42#y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59890" cy="70040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5888" behindDoc="0" locked="0" layoutInCell="1" allowOverlap="1" wp14:anchorId="2E56523D" wp14:editId="624581B2">
            <wp:simplePos x="0" y="0"/>
            <wp:positionH relativeFrom="column">
              <wp:posOffset>4315728</wp:posOffset>
            </wp:positionH>
            <wp:positionV relativeFrom="paragraph">
              <wp:posOffset>90269</wp:posOffset>
            </wp:positionV>
            <wp:extent cx="1241425" cy="962660"/>
            <wp:effectExtent l="0" t="0" r="0" b="8890"/>
            <wp:wrapNone/>
            <wp:docPr id="902323024" name="Picture 3" descr="P42#y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323024" name="Picture 3" descr="P42#y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41425" cy="9626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6912" behindDoc="0" locked="0" layoutInCell="1" allowOverlap="1" wp14:anchorId="25DA5EA2" wp14:editId="0F45F0FE">
            <wp:simplePos x="0" y="0"/>
            <wp:positionH relativeFrom="column">
              <wp:posOffset>3120326</wp:posOffset>
            </wp:positionH>
            <wp:positionV relativeFrom="paragraph">
              <wp:posOffset>176238</wp:posOffset>
            </wp:positionV>
            <wp:extent cx="671119" cy="677131"/>
            <wp:effectExtent l="0" t="0" r="0" b="8890"/>
            <wp:wrapNone/>
            <wp:docPr id="821321336" name="Picture 4" descr="P42#y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321336" name="Picture 4" descr="P42#y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71119" cy="677131"/>
                    </a:xfrm>
                    <a:prstGeom prst="rect">
                      <a:avLst/>
                    </a:prstGeom>
                  </pic:spPr>
                </pic:pic>
              </a:graphicData>
            </a:graphic>
            <wp14:sizeRelH relativeFrom="page">
              <wp14:pctWidth>0</wp14:pctWidth>
            </wp14:sizeRelH>
            <wp14:sizeRelV relativeFrom="page">
              <wp14:pctHeight>0</wp14:pctHeight>
            </wp14:sizeRelV>
          </wp:anchor>
        </w:drawing>
      </w:r>
      <w:r w:rsidR="00705F89">
        <w:rPr>
          <w:noProof/>
        </w:rPr>
        <w:drawing>
          <wp:anchor distT="0" distB="0" distL="114300" distR="114300" simplePos="0" relativeHeight="251693056" behindDoc="0" locked="0" layoutInCell="1" allowOverlap="1" wp14:anchorId="6EAA600A" wp14:editId="6CAEAB87">
            <wp:simplePos x="0" y="0"/>
            <wp:positionH relativeFrom="column">
              <wp:posOffset>3042920</wp:posOffset>
            </wp:positionH>
            <wp:positionV relativeFrom="paragraph">
              <wp:posOffset>1180465</wp:posOffset>
            </wp:positionV>
            <wp:extent cx="944880" cy="813435"/>
            <wp:effectExtent l="0" t="0" r="7620" b="5715"/>
            <wp:wrapNone/>
            <wp:docPr id="588891043" name="Picture 6" descr="P42#y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891043" name="Picture 6" descr="P42#y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44880" cy="813435"/>
                    </a:xfrm>
                    <a:prstGeom prst="rect">
                      <a:avLst/>
                    </a:prstGeom>
                  </pic:spPr>
                </pic:pic>
              </a:graphicData>
            </a:graphic>
            <wp14:sizeRelH relativeFrom="page">
              <wp14:pctWidth>0</wp14:pctWidth>
            </wp14:sizeRelH>
            <wp14:sizeRelV relativeFrom="page">
              <wp14:pctHeight>0</wp14:pctHeight>
            </wp14:sizeRelV>
          </wp:anchor>
        </w:drawing>
      </w:r>
      <w:r w:rsidR="00705F89">
        <w:rPr>
          <w:noProof/>
        </w:rPr>
        <w:drawing>
          <wp:anchor distT="0" distB="0" distL="114300" distR="114300" simplePos="0" relativeHeight="251697152" behindDoc="0" locked="0" layoutInCell="1" allowOverlap="1" wp14:anchorId="6903A29D" wp14:editId="29214758">
            <wp:simplePos x="0" y="0"/>
            <wp:positionH relativeFrom="column">
              <wp:posOffset>1130300</wp:posOffset>
            </wp:positionH>
            <wp:positionV relativeFrom="paragraph">
              <wp:posOffset>2272030</wp:posOffset>
            </wp:positionV>
            <wp:extent cx="1224280" cy="462915"/>
            <wp:effectExtent l="0" t="0" r="0" b="0"/>
            <wp:wrapNone/>
            <wp:docPr id="1424342518" name="Picture 8" descr="P42#y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342518" name="Picture 8" descr="P42#y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224280" cy="462915"/>
                    </a:xfrm>
                    <a:prstGeom prst="rect">
                      <a:avLst/>
                    </a:prstGeom>
                  </pic:spPr>
                </pic:pic>
              </a:graphicData>
            </a:graphic>
            <wp14:sizeRelH relativeFrom="page">
              <wp14:pctWidth>0</wp14:pctWidth>
            </wp14:sizeRelH>
            <wp14:sizeRelV relativeFrom="page">
              <wp14:pctHeight>0</wp14:pctHeight>
            </wp14:sizeRelV>
          </wp:anchor>
        </w:drawing>
      </w:r>
      <w:r w:rsidR="00705F89">
        <w:rPr>
          <w:noProof/>
        </w:rPr>
        <w:drawing>
          <wp:anchor distT="0" distB="0" distL="114300" distR="114300" simplePos="0" relativeHeight="251701248" behindDoc="0" locked="0" layoutInCell="1" allowOverlap="1" wp14:anchorId="52013A1B" wp14:editId="18D3985D">
            <wp:simplePos x="0" y="0"/>
            <wp:positionH relativeFrom="column">
              <wp:posOffset>4325620</wp:posOffset>
            </wp:positionH>
            <wp:positionV relativeFrom="paragraph">
              <wp:posOffset>2263775</wp:posOffset>
            </wp:positionV>
            <wp:extent cx="1226185" cy="445770"/>
            <wp:effectExtent l="0" t="0" r="0" b="0"/>
            <wp:wrapNone/>
            <wp:docPr id="140779016" name="Picture 10" descr="P42#y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79016" name="Picture 10" descr="P42#y9"/>
                    <pic:cNvPicPr/>
                  </pic:nvPicPr>
                  <pic:blipFill>
                    <a:blip r:embed="rId15">
                      <a:extLst>
                        <a:ext uri="{28A0092B-C50C-407E-A947-70E740481C1C}">
                          <a14:useLocalDpi xmlns:a14="http://schemas.microsoft.com/office/drawing/2010/main" val="0"/>
                        </a:ext>
                      </a:extLst>
                    </a:blip>
                    <a:stretch>
                      <a:fillRect/>
                    </a:stretch>
                  </pic:blipFill>
                  <pic:spPr>
                    <a:xfrm>
                      <a:off x="0" y="0"/>
                      <a:ext cx="1226185" cy="445770"/>
                    </a:xfrm>
                    <a:prstGeom prst="rect">
                      <a:avLst/>
                    </a:prstGeom>
                  </pic:spPr>
                </pic:pic>
              </a:graphicData>
            </a:graphic>
            <wp14:sizeRelH relativeFrom="page">
              <wp14:pctWidth>0</wp14:pctWidth>
            </wp14:sizeRelH>
            <wp14:sizeRelV relativeFrom="page">
              <wp14:pctHeight>0</wp14:pctHeight>
            </wp14:sizeRelV>
          </wp:anchor>
        </w:drawing>
      </w:r>
      <w:r w:rsidR="00705F89">
        <w:rPr>
          <w:noProof/>
        </w:rPr>
        <w:drawing>
          <wp:anchor distT="0" distB="0" distL="114300" distR="114300" simplePos="0" relativeHeight="251688960" behindDoc="0" locked="0" layoutInCell="1" allowOverlap="1" wp14:anchorId="2AB790C6" wp14:editId="38EA58CA">
            <wp:simplePos x="0" y="0"/>
            <wp:positionH relativeFrom="column">
              <wp:posOffset>1132840</wp:posOffset>
            </wp:positionH>
            <wp:positionV relativeFrom="paragraph">
              <wp:posOffset>930275</wp:posOffset>
            </wp:positionV>
            <wp:extent cx="1367155" cy="398780"/>
            <wp:effectExtent l="0" t="0" r="4445" b="1270"/>
            <wp:wrapNone/>
            <wp:docPr id="1937384311" name="Picture 4" descr="P42#y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384311" name="Picture 4" descr="P42#y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367155" cy="398780"/>
                    </a:xfrm>
                    <a:prstGeom prst="rect">
                      <a:avLst/>
                    </a:prstGeom>
                  </pic:spPr>
                </pic:pic>
              </a:graphicData>
            </a:graphic>
            <wp14:sizeRelH relativeFrom="page">
              <wp14:pctWidth>0</wp14:pctWidth>
            </wp14:sizeRelH>
            <wp14:sizeRelV relativeFrom="page">
              <wp14:pctHeight>0</wp14:pctHeight>
            </wp14:sizeRelV>
          </wp:anchor>
        </w:drawing>
      </w:r>
      <w:r w:rsidR="00705F89">
        <w:rPr>
          <w:noProof/>
        </w:rPr>
        <w:drawing>
          <wp:anchor distT="0" distB="0" distL="114300" distR="114300" simplePos="0" relativeHeight="251699200" behindDoc="0" locked="0" layoutInCell="1" allowOverlap="1" wp14:anchorId="3C5CA835" wp14:editId="248EB160">
            <wp:simplePos x="0" y="0"/>
            <wp:positionH relativeFrom="column">
              <wp:posOffset>2597785</wp:posOffset>
            </wp:positionH>
            <wp:positionV relativeFrom="paragraph">
              <wp:posOffset>2237740</wp:posOffset>
            </wp:positionV>
            <wp:extent cx="1536065" cy="471170"/>
            <wp:effectExtent l="0" t="0" r="6985" b="5080"/>
            <wp:wrapNone/>
            <wp:docPr id="1028396394" name="Picture 9" descr="P42#y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396394" name="Picture 9" descr="P42#y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536065" cy="471170"/>
                    </a:xfrm>
                    <a:prstGeom prst="rect">
                      <a:avLst/>
                    </a:prstGeom>
                  </pic:spPr>
                </pic:pic>
              </a:graphicData>
            </a:graphic>
            <wp14:sizeRelH relativeFrom="page">
              <wp14:pctWidth>0</wp14:pctWidth>
            </wp14:sizeRelH>
            <wp14:sizeRelV relativeFrom="page">
              <wp14:pctHeight>0</wp14:pctHeight>
            </wp14:sizeRelV>
          </wp:anchor>
        </w:drawing>
      </w:r>
      <w:r w:rsidR="00705F89">
        <w:rPr>
          <w:noProof/>
        </w:rPr>
        <w:drawing>
          <wp:anchor distT="0" distB="0" distL="114300" distR="114300" simplePos="0" relativeHeight="251691008" behindDoc="0" locked="0" layoutInCell="1" allowOverlap="1" wp14:anchorId="6986B2AA" wp14:editId="39C1295B">
            <wp:simplePos x="0" y="0"/>
            <wp:positionH relativeFrom="column">
              <wp:posOffset>1130300</wp:posOffset>
            </wp:positionH>
            <wp:positionV relativeFrom="paragraph">
              <wp:posOffset>1580515</wp:posOffset>
            </wp:positionV>
            <wp:extent cx="1467485" cy="411480"/>
            <wp:effectExtent l="0" t="0" r="0" b="7620"/>
            <wp:wrapNone/>
            <wp:docPr id="721272789" name="Picture 5" descr="P42#y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272789" name="Picture 5" descr="P42#y5"/>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67485" cy="411480"/>
                    </a:xfrm>
                    <a:prstGeom prst="rect">
                      <a:avLst/>
                    </a:prstGeom>
                  </pic:spPr>
                </pic:pic>
              </a:graphicData>
            </a:graphic>
            <wp14:sizeRelH relativeFrom="page">
              <wp14:pctWidth>0</wp14:pctWidth>
            </wp14:sizeRelH>
            <wp14:sizeRelV relativeFrom="page">
              <wp14:pctHeight>0</wp14:pctHeight>
            </wp14:sizeRelV>
          </wp:anchor>
        </w:drawing>
      </w:r>
    </w:p>
    <w:p w14:paraId="5F933F18" w14:textId="0F25A46F" w:rsidR="00795C29" w:rsidRDefault="00795C29" w:rsidP="003C744C">
      <w:pPr>
        <w:pStyle w:val="Heading2"/>
      </w:pPr>
    </w:p>
    <w:p w14:paraId="25D5F634" w14:textId="19F97BD9" w:rsidR="00795C29" w:rsidRDefault="00795C29" w:rsidP="003C744C">
      <w:pPr>
        <w:pStyle w:val="Heading2"/>
      </w:pPr>
    </w:p>
    <w:p w14:paraId="2209F35C" w14:textId="2A50B9D4" w:rsidR="00481938" w:rsidRDefault="00987142" w:rsidP="003C744C">
      <w:pPr>
        <w:pStyle w:val="Heading2"/>
      </w:pPr>
      <w:r>
        <w:t xml:space="preserve"> </w:t>
      </w:r>
    </w:p>
    <w:p w14:paraId="3FAB8808" w14:textId="7AA0A9AD" w:rsidR="009636F1" w:rsidRPr="00481938" w:rsidRDefault="00234534" w:rsidP="003C744C">
      <w:r>
        <w:rPr>
          <w:noProof/>
        </w:rPr>
        <w:drawing>
          <wp:anchor distT="0" distB="0" distL="114300" distR="114300" simplePos="0" relativeHeight="251695104" behindDoc="0" locked="0" layoutInCell="1" allowOverlap="1" wp14:anchorId="7D68350F" wp14:editId="3FCFFCC7">
            <wp:simplePos x="0" y="0"/>
            <wp:positionH relativeFrom="column">
              <wp:posOffset>4325620</wp:posOffset>
            </wp:positionH>
            <wp:positionV relativeFrom="paragraph">
              <wp:posOffset>308109</wp:posOffset>
            </wp:positionV>
            <wp:extent cx="1177925" cy="628650"/>
            <wp:effectExtent l="0" t="0" r="3175" b="0"/>
            <wp:wrapNone/>
            <wp:docPr id="274209538" name="Picture 7" descr="P46#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209538" name="Picture 7" descr="P46#y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177925" cy="628650"/>
                    </a:xfrm>
                    <a:prstGeom prst="rect">
                      <a:avLst/>
                    </a:prstGeom>
                  </pic:spPr>
                </pic:pic>
              </a:graphicData>
            </a:graphic>
            <wp14:sizeRelH relativeFrom="page">
              <wp14:pctWidth>0</wp14:pctWidth>
            </wp14:sizeRelH>
            <wp14:sizeRelV relativeFrom="page">
              <wp14:pctHeight>0</wp14:pctHeight>
            </wp14:sizeRelV>
          </wp:anchor>
        </w:drawing>
      </w:r>
    </w:p>
    <w:sectPr w:rsidR="009636F1" w:rsidRPr="00481938" w:rsidSect="00954D43">
      <w:headerReference w:type="default" r:id="rId20"/>
      <w:footerReference w:type="even" r:id="rId21"/>
      <w:footerReference w:type="default" r:id="rId22"/>
      <w:endnotePr>
        <w:numFmt w:val="decimal"/>
      </w:endnotePr>
      <w:pgSz w:w="11906" w:h="16838"/>
      <w:pgMar w:top="870" w:right="1252" w:bottom="1503" w:left="1156" w:header="708" w:footer="8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B64E51" w14:textId="77777777" w:rsidR="00A3048A" w:rsidRDefault="00A3048A" w:rsidP="003C744C">
      <w:r>
        <w:separator/>
      </w:r>
    </w:p>
  </w:endnote>
  <w:endnote w:type="continuationSeparator" w:id="0">
    <w:p w14:paraId="2BA86FE6" w14:textId="77777777" w:rsidR="00A3048A" w:rsidRDefault="00A3048A" w:rsidP="003C74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Times New Roman (Headings C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ZWAdobeF">
    <w:panose1 w:val="00000000000000000000"/>
    <w:charset w:val="00"/>
    <w:family w:val="auto"/>
    <w:pitch w:val="variable"/>
    <w:sig w:usb0="20002A87" w:usb1="00000000" w:usb2="00000000"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01198583"/>
      <w:docPartObj>
        <w:docPartGallery w:val="Page Numbers (Bottom of Page)"/>
        <w:docPartUnique/>
      </w:docPartObj>
    </w:sdtPr>
    <w:sdtEndPr>
      <w:rPr>
        <w:rStyle w:val="PageNumber"/>
      </w:rPr>
    </w:sdtEndPr>
    <w:sdtContent>
      <w:p w14:paraId="2BAEE2F0" w14:textId="3F053F3A" w:rsidR="007D4137" w:rsidRDefault="007D4137" w:rsidP="003C744C">
        <w:pPr>
          <w:pStyle w:val="Footer"/>
          <w:rPr>
            <w:rStyle w:val="PageNumber"/>
          </w:rPr>
        </w:pPr>
        <w:r w:rsidRPr="37C4F008">
          <w:rPr>
            <w:rStyle w:val="PageNumber"/>
          </w:rPr>
          <w:fldChar w:fldCharType="begin"/>
        </w:r>
        <w:r w:rsidRPr="37C4F008">
          <w:rPr>
            <w:rStyle w:val="PageNumber"/>
          </w:rPr>
          <w:instrText xml:space="preserve"> PAGE </w:instrText>
        </w:r>
        <w:r w:rsidRPr="37C4F008">
          <w:rPr>
            <w:rStyle w:val="PageNumber"/>
          </w:rPr>
          <w:fldChar w:fldCharType="end"/>
        </w:r>
      </w:p>
    </w:sdtContent>
  </w:sdt>
  <w:p w14:paraId="3FAB5A2A" w14:textId="77777777" w:rsidR="007D4137" w:rsidRDefault="007D4137" w:rsidP="003C74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C2424C" w14:textId="16DB2A40" w:rsidR="007D4137" w:rsidRDefault="00EE220E" w:rsidP="006F0B7F">
    <w:pPr>
      <w:pStyle w:val="Footer"/>
      <w:jc w:val="right"/>
    </w:pPr>
    <w:hyperlink r:id="rId1" w:history="1">
      <w:r w:rsidRPr="0074798E">
        <w:rPr>
          <w:rStyle w:val="Hyperlink"/>
        </w:rPr>
        <w:t>www.srhrconsortium.org</w:t>
      </w:r>
    </w:hyperlink>
    <w:r w:rsidR="00776029">
      <w:t xml:space="preserve"> </w:t>
    </w:r>
    <w:r w:rsidR="00197092">
      <w:tab/>
    </w:r>
    <w:r w:rsidR="00627ADE">
      <w:tab/>
    </w:r>
    <w:r w:rsidR="00627ADE">
      <w:tab/>
    </w:r>
    <w:r w:rsidR="00197092">
      <w:fldChar w:fldCharType="begin"/>
    </w:r>
    <w:r w:rsidR="00197092">
      <w:instrText xml:space="preserve"> PAGE  \* MERGEFORMAT </w:instrText>
    </w:r>
    <w:r w:rsidR="00197092">
      <w:fldChar w:fldCharType="separate"/>
    </w:r>
    <w:r w:rsidR="00197092">
      <w:rPr>
        <w:noProof/>
      </w:rPr>
      <w:t>2</w:t>
    </w:r>
    <w:r w:rsidR="00197092">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ECB679" w14:textId="77777777" w:rsidR="00A3048A" w:rsidRDefault="00A3048A" w:rsidP="003C744C">
      <w:r>
        <w:separator/>
      </w:r>
    </w:p>
  </w:footnote>
  <w:footnote w:type="continuationSeparator" w:id="0">
    <w:p w14:paraId="6D3B2C0C" w14:textId="77777777" w:rsidR="00A3048A" w:rsidRDefault="00A3048A" w:rsidP="003C744C">
      <w:r>
        <w:continuationSeparator/>
      </w:r>
    </w:p>
  </w:footnote>
  <w:footnote w:id="1">
    <w:p w14:paraId="5DFF6397" w14:textId="4309FEE0" w:rsidR="00B07059" w:rsidRPr="009962F0" w:rsidRDefault="00B07059" w:rsidP="002E0367">
      <w:pPr>
        <w:pStyle w:val="FootnoteText"/>
        <w:spacing w:before="0" w:line="240" w:lineRule="auto"/>
        <w:rPr>
          <w:sz w:val="16"/>
          <w:szCs w:val="16"/>
        </w:rPr>
      </w:pPr>
      <w:r w:rsidRPr="009962F0">
        <w:rPr>
          <w:rStyle w:val="FootnoteReference"/>
          <w:sz w:val="16"/>
          <w:szCs w:val="16"/>
        </w:rPr>
        <w:footnoteRef/>
      </w:r>
      <w:r w:rsidRPr="009962F0">
        <w:rPr>
          <w:sz w:val="16"/>
          <w:szCs w:val="16"/>
        </w:rPr>
        <w:t xml:space="preserve"> </w:t>
      </w:r>
      <w:r w:rsidR="006D2A42" w:rsidRPr="009962F0">
        <w:rPr>
          <w:sz w:val="16"/>
          <w:szCs w:val="16"/>
        </w:rPr>
        <w:t>SRHR services and information include</w:t>
      </w:r>
      <w:r w:rsidR="00190455" w:rsidRPr="009962F0">
        <w:rPr>
          <w:sz w:val="16"/>
          <w:szCs w:val="16"/>
        </w:rPr>
        <w:t xml:space="preserve"> a broad range of services that cover access to contraception, fertility and infertility care, maternal and perinatal health, prevention and treatment of sexually transmitted infections (STIs), protection from sexual and gender-based violence, and education on safe and healthy relationships.</w:t>
      </w:r>
    </w:p>
  </w:footnote>
  <w:footnote w:id="2">
    <w:p w14:paraId="1A7736C3" w14:textId="7D5FFF83" w:rsidR="00B07059" w:rsidRPr="009962F0" w:rsidRDefault="00B07059" w:rsidP="006D2A42">
      <w:pPr>
        <w:pStyle w:val="FootnoteText"/>
        <w:spacing w:before="0" w:line="240" w:lineRule="auto"/>
        <w:rPr>
          <w:sz w:val="16"/>
          <w:szCs w:val="16"/>
        </w:rPr>
      </w:pPr>
      <w:r w:rsidRPr="009962F0">
        <w:rPr>
          <w:rStyle w:val="FootnoteReference"/>
          <w:sz w:val="16"/>
          <w:szCs w:val="16"/>
        </w:rPr>
        <w:footnoteRef/>
      </w:r>
      <w:r w:rsidRPr="00326F56">
        <w:rPr>
          <w:sz w:val="16"/>
          <w:szCs w:val="16"/>
          <w:lang w:val="fr-FR"/>
        </w:rPr>
        <w:t xml:space="preserve"> </w:t>
      </w:r>
      <w:bookmarkStart w:id="0" w:name="_Hlk201569845"/>
      <w:r w:rsidR="006D2A42" w:rsidRPr="00326F56">
        <w:rPr>
          <w:sz w:val="16"/>
          <w:szCs w:val="16"/>
          <w:lang w:val="fr-FR"/>
        </w:rPr>
        <w:t xml:space="preserve">Starrs, Ann M et al.- </w:t>
      </w:r>
      <w:r w:rsidR="006D2A42" w:rsidRPr="009962F0">
        <w:rPr>
          <w:sz w:val="16"/>
          <w:szCs w:val="16"/>
        </w:rPr>
        <w:t>Accelerate progress—sexual and reproductive health and rights for all: report of the Guttmacher–Lancet Commission. The Lancet, Volume 391, Issue 10140, 2642 - 2692</w:t>
      </w:r>
      <w:bookmarkEnd w:id="0"/>
    </w:p>
  </w:footnote>
  <w:footnote w:id="3">
    <w:p w14:paraId="647EF58A" w14:textId="371B8580" w:rsidR="00B07059" w:rsidRPr="009962F0" w:rsidRDefault="00B07059" w:rsidP="00B07059">
      <w:pPr>
        <w:pStyle w:val="FootnoteText"/>
        <w:spacing w:before="0" w:line="240" w:lineRule="auto"/>
        <w:rPr>
          <w:sz w:val="16"/>
          <w:szCs w:val="16"/>
        </w:rPr>
      </w:pPr>
      <w:r w:rsidRPr="009962F0">
        <w:rPr>
          <w:rStyle w:val="FootnoteReference"/>
          <w:sz w:val="16"/>
          <w:szCs w:val="16"/>
        </w:rPr>
        <w:footnoteRef/>
      </w:r>
      <w:r w:rsidRPr="009962F0">
        <w:rPr>
          <w:sz w:val="16"/>
          <w:szCs w:val="16"/>
        </w:rPr>
        <w:t xml:space="preserve"> </w:t>
      </w:r>
      <w:r w:rsidR="006D2A42" w:rsidRPr="009962F0">
        <w:rPr>
          <w:sz w:val="16"/>
          <w:szCs w:val="16"/>
        </w:rPr>
        <w:t>ibid</w:t>
      </w:r>
    </w:p>
  </w:footnote>
  <w:footnote w:id="4">
    <w:p w14:paraId="2405A09D" w14:textId="1D657274" w:rsidR="00B07059" w:rsidRPr="009962F0" w:rsidRDefault="00B07059" w:rsidP="00B07059">
      <w:pPr>
        <w:pStyle w:val="FootnoteText"/>
        <w:spacing w:before="0" w:line="240" w:lineRule="auto"/>
        <w:rPr>
          <w:sz w:val="16"/>
          <w:szCs w:val="16"/>
        </w:rPr>
      </w:pPr>
      <w:r w:rsidRPr="009962F0">
        <w:rPr>
          <w:rStyle w:val="FootnoteReference"/>
          <w:sz w:val="16"/>
          <w:szCs w:val="16"/>
        </w:rPr>
        <w:footnoteRef/>
      </w:r>
      <w:r w:rsidRPr="009962F0">
        <w:rPr>
          <w:sz w:val="16"/>
          <w:szCs w:val="16"/>
        </w:rPr>
        <w:t xml:space="preserve"> </w:t>
      </w:r>
      <w:r w:rsidR="00D37A2A" w:rsidRPr="009962F0">
        <w:rPr>
          <w:sz w:val="16"/>
          <w:szCs w:val="16"/>
        </w:rPr>
        <w:t>Kelly S, Walsh T, Delport D, ten Brink D, Martin-Hughes R, Homer C, Butler J, Adedeji O, De Beni D, Maurizio F, Friedman HS, Di Marco D, Tobar F, Pilar de la Corte Molina M, Richards AS, Scott N. Health and economic benefits of achieving contraceptive and maternal health targets in Small Island Developing States in the Pacific and Caribbean: BMJ Global Health 2023;8:e010018.</w:t>
      </w:r>
    </w:p>
  </w:footnote>
  <w:footnote w:id="5">
    <w:p w14:paraId="2AC062CD" w14:textId="7B69D3A0" w:rsidR="006D2A42" w:rsidRPr="009962F0" w:rsidRDefault="00B07059" w:rsidP="006D2A42">
      <w:pPr>
        <w:pStyle w:val="FootnoteText"/>
        <w:spacing w:before="0" w:line="240" w:lineRule="auto"/>
        <w:rPr>
          <w:sz w:val="16"/>
          <w:szCs w:val="16"/>
        </w:rPr>
      </w:pPr>
      <w:r w:rsidRPr="009962F0">
        <w:rPr>
          <w:rStyle w:val="FootnoteReference"/>
          <w:sz w:val="16"/>
          <w:szCs w:val="16"/>
        </w:rPr>
        <w:footnoteRef/>
      </w:r>
      <w:r w:rsidRPr="009962F0">
        <w:rPr>
          <w:sz w:val="16"/>
          <w:szCs w:val="16"/>
        </w:rPr>
        <w:t xml:space="preserve"> </w:t>
      </w:r>
      <w:r w:rsidR="006D2A42" w:rsidRPr="009962F0">
        <w:rPr>
          <w:sz w:val="16"/>
          <w:szCs w:val="16"/>
        </w:rPr>
        <w:t xml:space="preserve">OECD. Transforming laws and norms to achieve universal sexual and reproductive health and Rights. OECD Development Policy Papers February 2025 – No. 58 </w:t>
      </w:r>
    </w:p>
    <w:p w14:paraId="0485A45E" w14:textId="7AEE7137" w:rsidR="00B07059" w:rsidRDefault="006D2A42" w:rsidP="006D2A42">
      <w:pPr>
        <w:pStyle w:val="FootnoteText"/>
        <w:spacing w:before="0" w:line="240" w:lineRule="auto"/>
      </w:pPr>
      <w:hyperlink r:id="rId1" w:history="1">
        <w:r w:rsidRPr="009962F0">
          <w:rPr>
            <w:rStyle w:val="Hyperlink"/>
            <w:sz w:val="16"/>
            <w:szCs w:val="16"/>
          </w:rPr>
          <w:t>https://www.oecd.org/content/dam/oecd/en/publications/reports/2025/02/transforming-laws-and-norms-to-achieve-universal-sexual-and-reproductive-health-and-rights_6bed8ff9/9244e414-en.pdf</w:t>
        </w:r>
      </w:hyperlink>
      <w:r w:rsidRPr="009962F0">
        <w:rPr>
          <w:sz w:val="16"/>
          <w:szCs w:val="16"/>
        </w:rPr>
        <w:t xml:space="preserve"> </w:t>
      </w:r>
    </w:p>
  </w:footnote>
  <w:footnote w:id="6">
    <w:p w14:paraId="01EF8664" w14:textId="3F66623C" w:rsidR="00B07059" w:rsidRPr="009962F0" w:rsidRDefault="00B07059" w:rsidP="00D13122">
      <w:pPr>
        <w:pStyle w:val="FootnoteText"/>
        <w:spacing w:before="0" w:line="240" w:lineRule="auto"/>
        <w:rPr>
          <w:sz w:val="16"/>
          <w:szCs w:val="16"/>
        </w:rPr>
      </w:pPr>
      <w:r>
        <w:rPr>
          <w:rStyle w:val="FootnoteReference"/>
        </w:rPr>
        <w:footnoteRef/>
      </w:r>
      <w:r>
        <w:t xml:space="preserve"> </w:t>
      </w:r>
      <w:r w:rsidR="00D13122" w:rsidRPr="009962F0">
        <w:rPr>
          <w:sz w:val="16"/>
          <w:szCs w:val="16"/>
        </w:rPr>
        <w:t>Women Enabled International submission to OHCHR report on mental health and human rights. Women Enabled International, Washington, DC, 2016</w:t>
      </w:r>
    </w:p>
  </w:footnote>
  <w:footnote w:id="7">
    <w:p w14:paraId="46FA7401" w14:textId="0C0EE9F5" w:rsidR="00B07059" w:rsidRPr="009962F0" w:rsidRDefault="00B07059" w:rsidP="002E0367">
      <w:pPr>
        <w:pStyle w:val="FootnoteText"/>
        <w:spacing w:before="0" w:line="240" w:lineRule="auto"/>
        <w:rPr>
          <w:sz w:val="16"/>
          <w:szCs w:val="16"/>
        </w:rPr>
      </w:pPr>
      <w:r w:rsidRPr="009962F0">
        <w:rPr>
          <w:rStyle w:val="FootnoteReference"/>
          <w:sz w:val="16"/>
          <w:szCs w:val="16"/>
        </w:rPr>
        <w:footnoteRef/>
      </w:r>
      <w:r w:rsidRPr="009962F0">
        <w:rPr>
          <w:sz w:val="16"/>
          <w:szCs w:val="16"/>
        </w:rPr>
        <w:t xml:space="preserve"> </w:t>
      </w:r>
      <w:r w:rsidR="001D19F0" w:rsidRPr="009962F0">
        <w:rPr>
          <w:sz w:val="16"/>
          <w:szCs w:val="16"/>
        </w:rPr>
        <w:t>Starrs, Ann M et al.- Accelerate progress—sexual and reproductive health and rights for all: report of the Guttmacher–Lancet Commission. The Lancet, Volume 391, Issue 10140, 2642 - 2692</w:t>
      </w:r>
    </w:p>
  </w:footnote>
  <w:footnote w:id="8">
    <w:p w14:paraId="7D784165" w14:textId="0B678C87" w:rsidR="002E0367" w:rsidRPr="009962F0" w:rsidRDefault="002E0367" w:rsidP="002E0367">
      <w:pPr>
        <w:pStyle w:val="FootnoteText"/>
        <w:spacing w:before="0" w:line="240" w:lineRule="auto"/>
        <w:rPr>
          <w:sz w:val="16"/>
          <w:szCs w:val="16"/>
        </w:rPr>
      </w:pPr>
      <w:r w:rsidRPr="009962F0">
        <w:rPr>
          <w:rStyle w:val="FootnoteReference"/>
          <w:sz w:val="16"/>
          <w:szCs w:val="16"/>
        </w:rPr>
        <w:footnoteRef/>
      </w:r>
      <w:r w:rsidRPr="009962F0">
        <w:rPr>
          <w:sz w:val="16"/>
          <w:szCs w:val="16"/>
        </w:rPr>
        <w:t xml:space="preserve"> </w:t>
      </w:r>
      <w:r w:rsidR="00D37A2A" w:rsidRPr="009962F0">
        <w:rPr>
          <w:sz w:val="16"/>
          <w:szCs w:val="16"/>
        </w:rPr>
        <w:t>Tirado V, Engberg S, Holmblad IS, Strömdahl S, Ekström AM, Hurtig AK. "One-time interventions, it doesn't lead to much" - healthcare provider views to improving sexual and reproductive health services for young migrants in Sweden. BMC Health Serv Res. 2022 May 18;22(1):668. doi: 10.1186/s12913-022-07945-z. PMID: 35585585; PMCID: PMC9115984.</w:t>
      </w:r>
    </w:p>
  </w:footnote>
  <w:footnote w:id="9">
    <w:p w14:paraId="336E2FB9" w14:textId="2B393CFA" w:rsidR="002E0367" w:rsidRPr="009962F0" w:rsidRDefault="002E0367" w:rsidP="002E0367">
      <w:pPr>
        <w:pStyle w:val="FootnoteText"/>
        <w:spacing w:before="0" w:line="240" w:lineRule="auto"/>
        <w:rPr>
          <w:sz w:val="16"/>
          <w:szCs w:val="16"/>
        </w:rPr>
      </w:pPr>
      <w:r w:rsidRPr="009962F0">
        <w:rPr>
          <w:rStyle w:val="FootnoteReference"/>
          <w:sz w:val="16"/>
          <w:szCs w:val="16"/>
        </w:rPr>
        <w:footnoteRef/>
      </w:r>
      <w:r w:rsidRPr="009962F0">
        <w:rPr>
          <w:sz w:val="16"/>
          <w:szCs w:val="16"/>
        </w:rPr>
        <w:t xml:space="preserve"> </w:t>
      </w:r>
      <w:r w:rsidR="009962F0" w:rsidRPr="009962F0">
        <w:rPr>
          <w:sz w:val="16"/>
          <w:szCs w:val="16"/>
        </w:rPr>
        <w:t>World Health Organization. Sexual and Reproductive Health and Research (SRH). Critical Considerations and Actions for Achieving Universal Access to Sexual and Reproductive Health in the Context of Universal Health Coverage through a Primary Health Care Approach.ISBN: 978 92 4 005265 9</w:t>
      </w:r>
    </w:p>
  </w:footnote>
  <w:footnote w:id="10">
    <w:p w14:paraId="7909D0EE" w14:textId="70D1A4A6" w:rsidR="002E0367" w:rsidRPr="009962F0" w:rsidRDefault="002E0367" w:rsidP="009962F0">
      <w:pPr>
        <w:pStyle w:val="FootnoteText"/>
        <w:spacing w:before="0" w:line="240" w:lineRule="auto"/>
        <w:rPr>
          <w:sz w:val="16"/>
          <w:szCs w:val="16"/>
        </w:rPr>
      </w:pPr>
      <w:r w:rsidRPr="009962F0">
        <w:rPr>
          <w:rStyle w:val="FootnoteReference"/>
          <w:sz w:val="16"/>
          <w:szCs w:val="16"/>
        </w:rPr>
        <w:footnoteRef/>
      </w:r>
      <w:r w:rsidRPr="009962F0">
        <w:rPr>
          <w:sz w:val="16"/>
          <w:szCs w:val="16"/>
        </w:rPr>
        <w:t xml:space="preserve"> </w:t>
      </w:r>
      <w:r w:rsidR="009962F0" w:rsidRPr="009962F0">
        <w:rPr>
          <w:sz w:val="16"/>
          <w:szCs w:val="16"/>
        </w:rPr>
        <w:t>ibid</w:t>
      </w:r>
    </w:p>
  </w:footnote>
  <w:footnote w:id="11">
    <w:p w14:paraId="442AC31E" w14:textId="0E5C1B4E" w:rsidR="002E0367" w:rsidRDefault="002E0367" w:rsidP="002E0367">
      <w:pPr>
        <w:pStyle w:val="FootnoteText"/>
        <w:spacing w:before="0" w:line="240" w:lineRule="auto"/>
      </w:pPr>
      <w:r w:rsidRPr="009962F0">
        <w:rPr>
          <w:rStyle w:val="FootnoteReference"/>
          <w:sz w:val="16"/>
          <w:szCs w:val="16"/>
        </w:rPr>
        <w:footnoteRef/>
      </w:r>
      <w:r w:rsidRPr="009962F0">
        <w:rPr>
          <w:sz w:val="16"/>
          <w:szCs w:val="16"/>
        </w:rPr>
        <w:t xml:space="preserve"> </w:t>
      </w:r>
      <w:r w:rsidR="009962F0" w:rsidRPr="009962F0">
        <w:rPr>
          <w:sz w:val="16"/>
          <w:szCs w:val="16"/>
        </w:rPr>
        <w:t>Goldfarb ES, Lieberman LD. Three decades of research: The case for comprehensive sex education. Journal of Adolescent health. 2021 Jan 1;68(1):13-27.</w:t>
      </w:r>
    </w:p>
  </w:footnote>
  <w:footnote w:id="12">
    <w:p w14:paraId="7625EA8A" w14:textId="772EE3A4" w:rsidR="00B07059" w:rsidRPr="009962F0" w:rsidRDefault="00B07059" w:rsidP="001D19F0">
      <w:pPr>
        <w:pStyle w:val="FootnoteText"/>
        <w:spacing w:before="0" w:line="240" w:lineRule="auto"/>
        <w:rPr>
          <w:sz w:val="16"/>
          <w:szCs w:val="16"/>
        </w:rPr>
      </w:pPr>
      <w:r w:rsidRPr="009962F0">
        <w:rPr>
          <w:rStyle w:val="FootnoteReference"/>
          <w:sz w:val="16"/>
          <w:szCs w:val="16"/>
        </w:rPr>
        <w:footnoteRef/>
      </w:r>
      <w:r w:rsidRPr="009962F0">
        <w:rPr>
          <w:sz w:val="16"/>
          <w:szCs w:val="16"/>
        </w:rPr>
        <w:t xml:space="preserve"> </w:t>
      </w:r>
      <w:r w:rsidR="001D19F0" w:rsidRPr="009962F0">
        <w:rPr>
          <w:sz w:val="16"/>
          <w:szCs w:val="16"/>
        </w:rPr>
        <w:t>Galati, A. Sexual and reproductive health and rights in the context of the Sustainable Development Goals Guttmacher Policy Rev. 2015; 18:77-84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50FC0" w14:textId="01DA5B72" w:rsidR="00CE26D2" w:rsidRDefault="00CE26D2" w:rsidP="003C744C">
    <w:pPr>
      <w:pStyle w:val="Header"/>
    </w:pPr>
    <w:r>
      <w:rPr>
        <w:noProof/>
      </w:rPr>
      <mc:AlternateContent>
        <mc:Choice Requires="wps">
          <w:drawing>
            <wp:anchor distT="0" distB="0" distL="114300" distR="114300" simplePos="0" relativeHeight="251661312" behindDoc="0" locked="0" layoutInCell="1" allowOverlap="1" wp14:anchorId="30F2D33F" wp14:editId="1A6C08E0">
              <wp:simplePos x="0" y="0"/>
              <wp:positionH relativeFrom="column">
                <wp:posOffset>-938664</wp:posOffset>
              </wp:positionH>
              <wp:positionV relativeFrom="paragraph">
                <wp:posOffset>-474345</wp:posOffset>
              </wp:positionV>
              <wp:extent cx="1148715" cy="11089675"/>
              <wp:effectExtent l="0" t="0" r="0" b="0"/>
              <wp:wrapNone/>
              <wp:docPr id="1603818757" name="Rectangle 1"/>
              <wp:cNvGraphicFramePr/>
              <a:graphic xmlns:a="http://schemas.openxmlformats.org/drawingml/2006/main">
                <a:graphicData uri="http://schemas.microsoft.com/office/word/2010/wordprocessingShape">
                  <wps:wsp>
                    <wps:cNvSpPr/>
                    <wps:spPr>
                      <a:xfrm>
                        <a:off x="0" y="0"/>
                        <a:ext cx="1148715" cy="11089675"/>
                      </a:xfrm>
                      <a:prstGeom prst="rect">
                        <a:avLst/>
                      </a:prstGeom>
                      <a:solidFill>
                        <a:srgbClr val="1D9999">
                          <a:alpha val="74902"/>
                        </a:srgb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51ACBB29">
            <v:rect id="Rectangle 1" style="position:absolute;margin-left:-73.9pt;margin-top:-37.35pt;width:90.45pt;height:87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1d9999" stroked="f" strokeweight="1pt" w14:anchorId="3B5B676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">
              <v:fill opacity="49087f"/>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D803B8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87843F4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FC529552"/>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F0EE7CA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1A68545C"/>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3AE9DEC"/>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9A60D5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A4EFFEE"/>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99887EA"/>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354376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35C64E1"/>
    <w:multiLevelType w:val="hybridMultilevel"/>
    <w:tmpl w:val="08E0DB5E"/>
    <w:lvl w:ilvl="0" w:tplc="4A2246F2">
      <w:start w:val="30"/>
      <w:numFmt w:val="bullet"/>
      <w:lvlText w:val="-"/>
      <w:lvlJc w:val="left"/>
      <w:pPr>
        <w:ind w:left="720" w:hanging="360"/>
      </w:pPr>
      <w:rPr>
        <w:rFonts w:ascii="Aptos" w:hAnsi="Aptos" w:hint="default"/>
      </w:rPr>
    </w:lvl>
    <w:lvl w:ilvl="1" w:tplc="1E4C9C92" w:tentative="1">
      <w:start w:val="1"/>
      <w:numFmt w:val="bullet"/>
      <w:lvlText w:val="o"/>
      <w:lvlJc w:val="left"/>
      <w:pPr>
        <w:ind w:left="1440" w:hanging="360"/>
      </w:pPr>
      <w:rPr>
        <w:rFonts w:ascii="Courier New" w:hAnsi="Courier New" w:hint="default"/>
      </w:rPr>
    </w:lvl>
    <w:lvl w:ilvl="2" w:tplc="0FB6373A" w:tentative="1">
      <w:start w:val="1"/>
      <w:numFmt w:val="bullet"/>
      <w:lvlText w:val=""/>
      <w:lvlJc w:val="left"/>
      <w:pPr>
        <w:ind w:left="2160" w:hanging="360"/>
      </w:pPr>
      <w:rPr>
        <w:rFonts w:ascii="Wingdings" w:hAnsi="Wingdings" w:hint="default"/>
      </w:rPr>
    </w:lvl>
    <w:lvl w:ilvl="3" w:tplc="09848490" w:tentative="1">
      <w:start w:val="1"/>
      <w:numFmt w:val="bullet"/>
      <w:lvlText w:val=""/>
      <w:lvlJc w:val="left"/>
      <w:pPr>
        <w:ind w:left="2880" w:hanging="360"/>
      </w:pPr>
      <w:rPr>
        <w:rFonts w:ascii="Symbol" w:hAnsi="Symbol" w:hint="default"/>
      </w:rPr>
    </w:lvl>
    <w:lvl w:ilvl="4" w:tplc="FA00625E" w:tentative="1">
      <w:start w:val="1"/>
      <w:numFmt w:val="bullet"/>
      <w:lvlText w:val="o"/>
      <w:lvlJc w:val="left"/>
      <w:pPr>
        <w:ind w:left="3600" w:hanging="360"/>
      </w:pPr>
      <w:rPr>
        <w:rFonts w:ascii="Courier New" w:hAnsi="Courier New" w:hint="default"/>
      </w:rPr>
    </w:lvl>
    <w:lvl w:ilvl="5" w:tplc="2C84475E" w:tentative="1">
      <w:start w:val="1"/>
      <w:numFmt w:val="bullet"/>
      <w:lvlText w:val=""/>
      <w:lvlJc w:val="left"/>
      <w:pPr>
        <w:ind w:left="4320" w:hanging="360"/>
      </w:pPr>
      <w:rPr>
        <w:rFonts w:ascii="Wingdings" w:hAnsi="Wingdings" w:hint="default"/>
      </w:rPr>
    </w:lvl>
    <w:lvl w:ilvl="6" w:tplc="78D02730" w:tentative="1">
      <w:start w:val="1"/>
      <w:numFmt w:val="bullet"/>
      <w:lvlText w:val=""/>
      <w:lvlJc w:val="left"/>
      <w:pPr>
        <w:ind w:left="5040" w:hanging="360"/>
      </w:pPr>
      <w:rPr>
        <w:rFonts w:ascii="Symbol" w:hAnsi="Symbol" w:hint="default"/>
      </w:rPr>
    </w:lvl>
    <w:lvl w:ilvl="7" w:tplc="E7A09D90" w:tentative="1">
      <w:start w:val="1"/>
      <w:numFmt w:val="bullet"/>
      <w:lvlText w:val="o"/>
      <w:lvlJc w:val="left"/>
      <w:pPr>
        <w:ind w:left="5760" w:hanging="360"/>
      </w:pPr>
      <w:rPr>
        <w:rFonts w:ascii="Courier New" w:hAnsi="Courier New" w:hint="default"/>
      </w:rPr>
    </w:lvl>
    <w:lvl w:ilvl="8" w:tplc="3C32AE66" w:tentative="1">
      <w:start w:val="1"/>
      <w:numFmt w:val="bullet"/>
      <w:lvlText w:val=""/>
      <w:lvlJc w:val="left"/>
      <w:pPr>
        <w:ind w:left="6480" w:hanging="360"/>
      </w:pPr>
      <w:rPr>
        <w:rFonts w:ascii="Wingdings" w:hAnsi="Wingdings" w:hint="default"/>
      </w:rPr>
    </w:lvl>
  </w:abstractNum>
  <w:abstractNum w:abstractNumId="11" w15:restartNumberingAfterBreak="0">
    <w:nsid w:val="179A13DA"/>
    <w:multiLevelType w:val="multilevel"/>
    <w:tmpl w:val="B0DA2FF6"/>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12" w15:restartNumberingAfterBreak="0">
    <w:nsid w:val="1AE74894"/>
    <w:multiLevelType w:val="hybridMultilevel"/>
    <w:tmpl w:val="D0E8CC98"/>
    <w:lvl w:ilvl="0" w:tplc="21E0130E">
      <w:start w:val="1"/>
      <w:numFmt w:val="bullet"/>
      <w:lvlText w:val=""/>
      <w:lvlJc w:val="left"/>
      <w:pPr>
        <w:ind w:left="720" w:hanging="360"/>
      </w:pPr>
      <w:rPr>
        <w:rFonts w:ascii="Symbol" w:hAnsi="Symbol" w:hint="default"/>
      </w:rPr>
    </w:lvl>
    <w:lvl w:ilvl="1" w:tplc="49E2E4AC" w:tentative="1">
      <w:start w:val="1"/>
      <w:numFmt w:val="bullet"/>
      <w:lvlText w:val="o"/>
      <w:lvlJc w:val="left"/>
      <w:pPr>
        <w:ind w:left="1440" w:hanging="360"/>
      </w:pPr>
      <w:rPr>
        <w:rFonts w:ascii="Courier New" w:hAnsi="Courier New" w:hint="default"/>
      </w:rPr>
    </w:lvl>
    <w:lvl w:ilvl="2" w:tplc="51886248" w:tentative="1">
      <w:start w:val="1"/>
      <w:numFmt w:val="bullet"/>
      <w:lvlText w:val=""/>
      <w:lvlJc w:val="left"/>
      <w:pPr>
        <w:ind w:left="2160" w:hanging="360"/>
      </w:pPr>
      <w:rPr>
        <w:rFonts w:ascii="Wingdings" w:hAnsi="Wingdings" w:hint="default"/>
      </w:rPr>
    </w:lvl>
    <w:lvl w:ilvl="3" w:tplc="D00621C6" w:tentative="1">
      <w:start w:val="1"/>
      <w:numFmt w:val="bullet"/>
      <w:lvlText w:val=""/>
      <w:lvlJc w:val="left"/>
      <w:pPr>
        <w:ind w:left="2880" w:hanging="360"/>
      </w:pPr>
      <w:rPr>
        <w:rFonts w:ascii="Symbol" w:hAnsi="Symbol" w:hint="default"/>
      </w:rPr>
    </w:lvl>
    <w:lvl w:ilvl="4" w:tplc="08D89D74" w:tentative="1">
      <w:start w:val="1"/>
      <w:numFmt w:val="bullet"/>
      <w:lvlText w:val="o"/>
      <w:lvlJc w:val="left"/>
      <w:pPr>
        <w:ind w:left="3600" w:hanging="360"/>
      </w:pPr>
      <w:rPr>
        <w:rFonts w:ascii="Courier New" w:hAnsi="Courier New" w:hint="default"/>
      </w:rPr>
    </w:lvl>
    <w:lvl w:ilvl="5" w:tplc="EBBE58BC" w:tentative="1">
      <w:start w:val="1"/>
      <w:numFmt w:val="bullet"/>
      <w:lvlText w:val=""/>
      <w:lvlJc w:val="left"/>
      <w:pPr>
        <w:ind w:left="4320" w:hanging="360"/>
      </w:pPr>
      <w:rPr>
        <w:rFonts w:ascii="Wingdings" w:hAnsi="Wingdings" w:hint="default"/>
      </w:rPr>
    </w:lvl>
    <w:lvl w:ilvl="6" w:tplc="B7D8498C" w:tentative="1">
      <w:start w:val="1"/>
      <w:numFmt w:val="bullet"/>
      <w:lvlText w:val=""/>
      <w:lvlJc w:val="left"/>
      <w:pPr>
        <w:ind w:left="5040" w:hanging="360"/>
      </w:pPr>
      <w:rPr>
        <w:rFonts w:ascii="Symbol" w:hAnsi="Symbol" w:hint="default"/>
      </w:rPr>
    </w:lvl>
    <w:lvl w:ilvl="7" w:tplc="EA044138" w:tentative="1">
      <w:start w:val="1"/>
      <w:numFmt w:val="bullet"/>
      <w:lvlText w:val="o"/>
      <w:lvlJc w:val="left"/>
      <w:pPr>
        <w:ind w:left="5760" w:hanging="360"/>
      </w:pPr>
      <w:rPr>
        <w:rFonts w:ascii="Courier New" w:hAnsi="Courier New" w:hint="default"/>
      </w:rPr>
    </w:lvl>
    <w:lvl w:ilvl="8" w:tplc="6130C30C" w:tentative="1">
      <w:start w:val="1"/>
      <w:numFmt w:val="bullet"/>
      <w:lvlText w:val=""/>
      <w:lvlJc w:val="left"/>
      <w:pPr>
        <w:ind w:left="6480" w:hanging="360"/>
      </w:pPr>
      <w:rPr>
        <w:rFonts w:ascii="Wingdings" w:hAnsi="Wingdings" w:hint="default"/>
      </w:rPr>
    </w:lvl>
  </w:abstractNum>
  <w:abstractNum w:abstractNumId="13" w15:restartNumberingAfterBreak="0">
    <w:nsid w:val="201756BB"/>
    <w:multiLevelType w:val="hybridMultilevel"/>
    <w:tmpl w:val="055E531E"/>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4" w15:restartNumberingAfterBreak="0">
    <w:nsid w:val="21520F07"/>
    <w:multiLevelType w:val="hybridMultilevel"/>
    <w:tmpl w:val="6B60B2C4"/>
    <w:lvl w:ilvl="0" w:tplc="8BD03138">
      <w:start w:val="1"/>
      <w:numFmt w:val="bullet"/>
      <w:lvlText w:val=""/>
      <w:lvlJc w:val="left"/>
      <w:pPr>
        <w:ind w:left="360" w:hanging="360"/>
      </w:pPr>
      <w:rPr>
        <w:rFonts w:ascii="Symbol" w:hAnsi="Symbol" w:hint="default"/>
      </w:rPr>
    </w:lvl>
    <w:lvl w:ilvl="1" w:tplc="9BC679C0" w:tentative="1">
      <w:start w:val="1"/>
      <w:numFmt w:val="bullet"/>
      <w:lvlText w:val="o"/>
      <w:lvlJc w:val="left"/>
      <w:pPr>
        <w:ind w:left="1080" w:hanging="360"/>
      </w:pPr>
      <w:rPr>
        <w:rFonts w:ascii="Courier New" w:hAnsi="Courier New" w:hint="default"/>
      </w:rPr>
    </w:lvl>
    <w:lvl w:ilvl="2" w:tplc="47F29892" w:tentative="1">
      <w:start w:val="1"/>
      <w:numFmt w:val="bullet"/>
      <w:lvlText w:val=""/>
      <w:lvlJc w:val="left"/>
      <w:pPr>
        <w:ind w:left="1800" w:hanging="360"/>
      </w:pPr>
      <w:rPr>
        <w:rFonts w:ascii="Wingdings" w:hAnsi="Wingdings" w:hint="default"/>
      </w:rPr>
    </w:lvl>
    <w:lvl w:ilvl="3" w:tplc="98F8F2E0" w:tentative="1">
      <w:start w:val="1"/>
      <w:numFmt w:val="bullet"/>
      <w:lvlText w:val=""/>
      <w:lvlJc w:val="left"/>
      <w:pPr>
        <w:ind w:left="2520" w:hanging="360"/>
      </w:pPr>
      <w:rPr>
        <w:rFonts w:ascii="Symbol" w:hAnsi="Symbol" w:hint="default"/>
      </w:rPr>
    </w:lvl>
    <w:lvl w:ilvl="4" w:tplc="149CEE58" w:tentative="1">
      <w:start w:val="1"/>
      <w:numFmt w:val="bullet"/>
      <w:lvlText w:val="o"/>
      <w:lvlJc w:val="left"/>
      <w:pPr>
        <w:ind w:left="3240" w:hanging="360"/>
      </w:pPr>
      <w:rPr>
        <w:rFonts w:ascii="Courier New" w:hAnsi="Courier New" w:hint="default"/>
      </w:rPr>
    </w:lvl>
    <w:lvl w:ilvl="5" w:tplc="33CC9D8A" w:tentative="1">
      <w:start w:val="1"/>
      <w:numFmt w:val="bullet"/>
      <w:lvlText w:val=""/>
      <w:lvlJc w:val="left"/>
      <w:pPr>
        <w:ind w:left="3960" w:hanging="360"/>
      </w:pPr>
      <w:rPr>
        <w:rFonts w:ascii="Wingdings" w:hAnsi="Wingdings" w:hint="default"/>
      </w:rPr>
    </w:lvl>
    <w:lvl w:ilvl="6" w:tplc="4F0ABBDC" w:tentative="1">
      <w:start w:val="1"/>
      <w:numFmt w:val="bullet"/>
      <w:lvlText w:val=""/>
      <w:lvlJc w:val="left"/>
      <w:pPr>
        <w:ind w:left="4680" w:hanging="360"/>
      </w:pPr>
      <w:rPr>
        <w:rFonts w:ascii="Symbol" w:hAnsi="Symbol" w:hint="default"/>
      </w:rPr>
    </w:lvl>
    <w:lvl w:ilvl="7" w:tplc="73E6D9CA" w:tentative="1">
      <w:start w:val="1"/>
      <w:numFmt w:val="bullet"/>
      <w:lvlText w:val="o"/>
      <w:lvlJc w:val="left"/>
      <w:pPr>
        <w:ind w:left="5400" w:hanging="360"/>
      </w:pPr>
      <w:rPr>
        <w:rFonts w:ascii="Courier New" w:hAnsi="Courier New" w:hint="default"/>
      </w:rPr>
    </w:lvl>
    <w:lvl w:ilvl="8" w:tplc="A84E6B52" w:tentative="1">
      <w:start w:val="1"/>
      <w:numFmt w:val="bullet"/>
      <w:lvlText w:val=""/>
      <w:lvlJc w:val="left"/>
      <w:pPr>
        <w:ind w:left="6120" w:hanging="360"/>
      </w:pPr>
      <w:rPr>
        <w:rFonts w:ascii="Wingdings" w:hAnsi="Wingdings" w:hint="default"/>
      </w:rPr>
    </w:lvl>
  </w:abstractNum>
  <w:abstractNum w:abstractNumId="15" w15:restartNumberingAfterBreak="0">
    <w:nsid w:val="22E42F79"/>
    <w:multiLevelType w:val="multilevel"/>
    <w:tmpl w:val="DE02A8F0"/>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16" w15:restartNumberingAfterBreak="0">
    <w:nsid w:val="2BAA4373"/>
    <w:multiLevelType w:val="hybridMultilevel"/>
    <w:tmpl w:val="860605B2"/>
    <w:lvl w:ilvl="0" w:tplc="ED3CC8D0">
      <w:start w:val="1"/>
      <w:numFmt w:val="decimal"/>
      <w:lvlText w:val="%1."/>
      <w:lvlJc w:val="left"/>
      <w:pPr>
        <w:ind w:left="720" w:hanging="360"/>
      </w:pPr>
    </w:lvl>
    <w:lvl w:ilvl="1" w:tplc="492ED368" w:tentative="1">
      <w:start w:val="1"/>
      <w:numFmt w:val="lowerLetter"/>
      <w:lvlText w:val="%2."/>
      <w:lvlJc w:val="left"/>
      <w:pPr>
        <w:ind w:left="1440" w:hanging="360"/>
      </w:pPr>
    </w:lvl>
    <w:lvl w:ilvl="2" w:tplc="C80E384C" w:tentative="1">
      <w:start w:val="1"/>
      <w:numFmt w:val="lowerRoman"/>
      <w:lvlText w:val="%3."/>
      <w:lvlJc w:val="right"/>
      <w:pPr>
        <w:ind w:left="2160" w:hanging="180"/>
      </w:pPr>
    </w:lvl>
    <w:lvl w:ilvl="3" w:tplc="45E25704" w:tentative="1">
      <w:start w:val="1"/>
      <w:numFmt w:val="decimal"/>
      <w:lvlText w:val="%4."/>
      <w:lvlJc w:val="left"/>
      <w:pPr>
        <w:ind w:left="2880" w:hanging="360"/>
      </w:pPr>
    </w:lvl>
    <w:lvl w:ilvl="4" w:tplc="C0609B08" w:tentative="1">
      <w:start w:val="1"/>
      <w:numFmt w:val="lowerLetter"/>
      <w:lvlText w:val="%5."/>
      <w:lvlJc w:val="left"/>
      <w:pPr>
        <w:ind w:left="3600" w:hanging="360"/>
      </w:pPr>
    </w:lvl>
    <w:lvl w:ilvl="5" w:tplc="1D246AF0" w:tentative="1">
      <w:start w:val="1"/>
      <w:numFmt w:val="lowerRoman"/>
      <w:lvlText w:val="%6."/>
      <w:lvlJc w:val="right"/>
      <w:pPr>
        <w:ind w:left="4320" w:hanging="180"/>
      </w:pPr>
    </w:lvl>
    <w:lvl w:ilvl="6" w:tplc="FCE6920E" w:tentative="1">
      <w:start w:val="1"/>
      <w:numFmt w:val="decimal"/>
      <w:lvlText w:val="%7."/>
      <w:lvlJc w:val="left"/>
      <w:pPr>
        <w:ind w:left="5040" w:hanging="360"/>
      </w:pPr>
    </w:lvl>
    <w:lvl w:ilvl="7" w:tplc="BFBC157C" w:tentative="1">
      <w:start w:val="1"/>
      <w:numFmt w:val="lowerLetter"/>
      <w:lvlText w:val="%8."/>
      <w:lvlJc w:val="left"/>
      <w:pPr>
        <w:ind w:left="5760" w:hanging="360"/>
      </w:pPr>
    </w:lvl>
    <w:lvl w:ilvl="8" w:tplc="B0F06AF4" w:tentative="1">
      <w:start w:val="1"/>
      <w:numFmt w:val="lowerRoman"/>
      <w:lvlText w:val="%9."/>
      <w:lvlJc w:val="right"/>
      <w:pPr>
        <w:ind w:left="6480" w:hanging="180"/>
      </w:pPr>
    </w:lvl>
  </w:abstractNum>
  <w:abstractNum w:abstractNumId="17" w15:restartNumberingAfterBreak="0">
    <w:nsid w:val="2DC17CCF"/>
    <w:multiLevelType w:val="hybridMultilevel"/>
    <w:tmpl w:val="AE209E5E"/>
    <w:lvl w:ilvl="0" w:tplc="CB040214">
      <w:start w:val="1"/>
      <w:numFmt w:val="bullet"/>
      <w:lvlText w:val=""/>
      <w:lvlJc w:val="left"/>
      <w:pPr>
        <w:ind w:left="720" w:hanging="360"/>
      </w:pPr>
      <w:rPr>
        <w:rFonts w:ascii="Symbol" w:hAnsi="Symbol" w:hint="default"/>
      </w:rPr>
    </w:lvl>
    <w:lvl w:ilvl="1" w:tplc="3C9A2F92" w:tentative="1">
      <w:start w:val="1"/>
      <w:numFmt w:val="bullet"/>
      <w:lvlText w:val="o"/>
      <w:lvlJc w:val="left"/>
      <w:pPr>
        <w:ind w:left="1440" w:hanging="360"/>
      </w:pPr>
      <w:rPr>
        <w:rFonts w:ascii="Courier New" w:hAnsi="Courier New" w:hint="default"/>
      </w:rPr>
    </w:lvl>
    <w:lvl w:ilvl="2" w:tplc="3B52375A" w:tentative="1">
      <w:start w:val="1"/>
      <w:numFmt w:val="bullet"/>
      <w:lvlText w:val=""/>
      <w:lvlJc w:val="left"/>
      <w:pPr>
        <w:ind w:left="2160" w:hanging="360"/>
      </w:pPr>
      <w:rPr>
        <w:rFonts w:ascii="Wingdings" w:hAnsi="Wingdings" w:hint="default"/>
      </w:rPr>
    </w:lvl>
    <w:lvl w:ilvl="3" w:tplc="F72C090E" w:tentative="1">
      <w:start w:val="1"/>
      <w:numFmt w:val="bullet"/>
      <w:lvlText w:val=""/>
      <w:lvlJc w:val="left"/>
      <w:pPr>
        <w:ind w:left="2880" w:hanging="360"/>
      </w:pPr>
      <w:rPr>
        <w:rFonts w:ascii="Symbol" w:hAnsi="Symbol" w:hint="default"/>
      </w:rPr>
    </w:lvl>
    <w:lvl w:ilvl="4" w:tplc="D7345E58" w:tentative="1">
      <w:start w:val="1"/>
      <w:numFmt w:val="bullet"/>
      <w:lvlText w:val="o"/>
      <w:lvlJc w:val="left"/>
      <w:pPr>
        <w:ind w:left="3600" w:hanging="360"/>
      </w:pPr>
      <w:rPr>
        <w:rFonts w:ascii="Courier New" w:hAnsi="Courier New" w:hint="default"/>
      </w:rPr>
    </w:lvl>
    <w:lvl w:ilvl="5" w:tplc="C8168AB6" w:tentative="1">
      <w:start w:val="1"/>
      <w:numFmt w:val="bullet"/>
      <w:lvlText w:val=""/>
      <w:lvlJc w:val="left"/>
      <w:pPr>
        <w:ind w:left="4320" w:hanging="360"/>
      </w:pPr>
      <w:rPr>
        <w:rFonts w:ascii="Wingdings" w:hAnsi="Wingdings" w:hint="default"/>
      </w:rPr>
    </w:lvl>
    <w:lvl w:ilvl="6" w:tplc="0546AD9C" w:tentative="1">
      <w:start w:val="1"/>
      <w:numFmt w:val="bullet"/>
      <w:lvlText w:val=""/>
      <w:lvlJc w:val="left"/>
      <w:pPr>
        <w:ind w:left="5040" w:hanging="360"/>
      </w:pPr>
      <w:rPr>
        <w:rFonts w:ascii="Symbol" w:hAnsi="Symbol" w:hint="default"/>
      </w:rPr>
    </w:lvl>
    <w:lvl w:ilvl="7" w:tplc="AFCA6F7A" w:tentative="1">
      <w:start w:val="1"/>
      <w:numFmt w:val="bullet"/>
      <w:lvlText w:val="o"/>
      <w:lvlJc w:val="left"/>
      <w:pPr>
        <w:ind w:left="5760" w:hanging="360"/>
      </w:pPr>
      <w:rPr>
        <w:rFonts w:ascii="Courier New" w:hAnsi="Courier New" w:hint="default"/>
      </w:rPr>
    </w:lvl>
    <w:lvl w:ilvl="8" w:tplc="2EA4CEFE" w:tentative="1">
      <w:start w:val="1"/>
      <w:numFmt w:val="bullet"/>
      <w:lvlText w:val=""/>
      <w:lvlJc w:val="left"/>
      <w:pPr>
        <w:ind w:left="6480" w:hanging="360"/>
      </w:pPr>
      <w:rPr>
        <w:rFonts w:ascii="Wingdings" w:hAnsi="Wingdings" w:hint="default"/>
      </w:rPr>
    </w:lvl>
  </w:abstractNum>
  <w:abstractNum w:abstractNumId="18" w15:restartNumberingAfterBreak="0">
    <w:nsid w:val="30F90C3E"/>
    <w:multiLevelType w:val="hybridMultilevel"/>
    <w:tmpl w:val="8C587CA2"/>
    <w:lvl w:ilvl="0" w:tplc="E098E70A">
      <w:start w:val="1"/>
      <w:numFmt w:val="bullet"/>
      <w:lvlText w:val=""/>
      <w:lvlJc w:val="left"/>
      <w:pPr>
        <w:ind w:left="720" w:hanging="360"/>
      </w:pPr>
      <w:rPr>
        <w:rFonts w:ascii="Symbol" w:hAnsi="Symbol" w:hint="default"/>
      </w:rPr>
    </w:lvl>
    <w:lvl w:ilvl="1" w:tplc="EBC480AC" w:tentative="1">
      <w:start w:val="1"/>
      <w:numFmt w:val="bullet"/>
      <w:lvlText w:val="o"/>
      <w:lvlJc w:val="left"/>
      <w:pPr>
        <w:ind w:left="1440" w:hanging="360"/>
      </w:pPr>
      <w:rPr>
        <w:rFonts w:ascii="Courier New" w:hAnsi="Courier New" w:hint="default"/>
      </w:rPr>
    </w:lvl>
    <w:lvl w:ilvl="2" w:tplc="DC344D36" w:tentative="1">
      <w:start w:val="1"/>
      <w:numFmt w:val="bullet"/>
      <w:lvlText w:val=""/>
      <w:lvlJc w:val="left"/>
      <w:pPr>
        <w:ind w:left="2160" w:hanging="360"/>
      </w:pPr>
      <w:rPr>
        <w:rFonts w:ascii="Wingdings" w:hAnsi="Wingdings" w:hint="default"/>
      </w:rPr>
    </w:lvl>
    <w:lvl w:ilvl="3" w:tplc="A5F89CE4" w:tentative="1">
      <w:start w:val="1"/>
      <w:numFmt w:val="bullet"/>
      <w:lvlText w:val=""/>
      <w:lvlJc w:val="left"/>
      <w:pPr>
        <w:ind w:left="2880" w:hanging="360"/>
      </w:pPr>
      <w:rPr>
        <w:rFonts w:ascii="Symbol" w:hAnsi="Symbol" w:hint="default"/>
      </w:rPr>
    </w:lvl>
    <w:lvl w:ilvl="4" w:tplc="85C2013A" w:tentative="1">
      <w:start w:val="1"/>
      <w:numFmt w:val="bullet"/>
      <w:lvlText w:val="o"/>
      <w:lvlJc w:val="left"/>
      <w:pPr>
        <w:ind w:left="3600" w:hanging="360"/>
      </w:pPr>
      <w:rPr>
        <w:rFonts w:ascii="Courier New" w:hAnsi="Courier New" w:hint="default"/>
      </w:rPr>
    </w:lvl>
    <w:lvl w:ilvl="5" w:tplc="8098BE6E" w:tentative="1">
      <w:start w:val="1"/>
      <w:numFmt w:val="bullet"/>
      <w:lvlText w:val=""/>
      <w:lvlJc w:val="left"/>
      <w:pPr>
        <w:ind w:left="4320" w:hanging="360"/>
      </w:pPr>
      <w:rPr>
        <w:rFonts w:ascii="Wingdings" w:hAnsi="Wingdings" w:hint="default"/>
      </w:rPr>
    </w:lvl>
    <w:lvl w:ilvl="6" w:tplc="F5742F58" w:tentative="1">
      <w:start w:val="1"/>
      <w:numFmt w:val="bullet"/>
      <w:lvlText w:val=""/>
      <w:lvlJc w:val="left"/>
      <w:pPr>
        <w:ind w:left="5040" w:hanging="360"/>
      </w:pPr>
      <w:rPr>
        <w:rFonts w:ascii="Symbol" w:hAnsi="Symbol" w:hint="default"/>
      </w:rPr>
    </w:lvl>
    <w:lvl w:ilvl="7" w:tplc="9EA839DE" w:tentative="1">
      <w:start w:val="1"/>
      <w:numFmt w:val="bullet"/>
      <w:lvlText w:val="o"/>
      <w:lvlJc w:val="left"/>
      <w:pPr>
        <w:ind w:left="5760" w:hanging="360"/>
      </w:pPr>
      <w:rPr>
        <w:rFonts w:ascii="Courier New" w:hAnsi="Courier New" w:hint="default"/>
      </w:rPr>
    </w:lvl>
    <w:lvl w:ilvl="8" w:tplc="8152ACB4" w:tentative="1">
      <w:start w:val="1"/>
      <w:numFmt w:val="bullet"/>
      <w:lvlText w:val=""/>
      <w:lvlJc w:val="left"/>
      <w:pPr>
        <w:ind w:left="6480" w:hanging="360"/>
      </w:pPr>
      <w:rPr>
        <w:rFonts w:ascii="Wingdings" w:hAnsi="Wingdings" w:hint="default"/>
      </w:rPr>
    </w:lvl>
  </w:abstractNum>
  <w:abstractNum w:abstractNumId="19" w15:restartNumberingAfterBreak="0">
    <w:nsid w:val="389A3E49"/>
    <w:multiLevelType w:val="hybridMultilevel"/>
    <w:tmpl w:val="84E0F8F6"/>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20" w15:restartNumberingAfterBreak="0">
    <w:nsid w:val="3DBA4B01"/>
    <w:multiLevelType w:val="hybridMultilevel"/>
    <w:tmpl w:val="6E6451BC"/>
    <w:lvl w:ilvl="0" w:tplc="08090001">
      <w:start w:val="1"/>
      <w:numFmt w:val="bullet"/>
      <w:lvlText w:val=""/>
      <w:lvlJc w:val="left"/>
      <w:pPr>
        <w:ind w:left="2061" w:hanging="360"/>
      </w:pPr>
      <w:rPr>
        <w:rFonts w:ascii="Symbol" w:hAnsi="Symbol" w:hint="default"/>
      </w:rPr>
    </w:lvl>
    <w:lvl w:ilvl="1" w:tplc="08090003" w:tentative="1">
      <w:start w:val="1"/>
      <w:numFmt w:val="bullet"/>
      <w:lvlText w:val="o"/>
      <w:lvlJc w:val="left"/>
      <w:pPr>
        <w:ind w:left="2781" w:hanging="360"/>
      </w:pPr>
      <w:rPr>
        <w:rFonts w:ascii="Courier New" w:hAnsi="Courier New" w:cs="Courier New" w:hint="default"/>
      </w:rPr>
    </w:lvl>
    <w:lvl w:ilvl="2" w:tplc="08090005" w:tentative="1">
      <w:start w:val="1"/>
      <w:numFmt w:val="bullet"/>
      <w:lvlText w:val=""/>
      <w:lvlJc w:val="left"/>
      <w:pPr>
        <w:ind w:left="3501" w:hanging="360"/>
      </w:pPr>
      <w:rPr>
        <w:rFonts w:ascii="Wingdings" w:hAnsi="Wingdings" w:hint="default"/>
      </w:rPr>
    </w:lvl>
    <w:lvl w:ilvl="3" w:tplc="08090001" w:tentative="1">
      <w:start w:val="1"/>
      <w:numFmt w:val="bullet"/>
      <w:lvlText w:val=""/>
      <w:lvlJc w:val="left"/>
      <w:pPr>
        <w:ind w:left="4221" w:hanging="360"/>
      </w:pPr>
      <w:rPr>
        <w:rFonts w:ascii="Symbol" w:hAnsi="Symbol" w:hint="default"/>
      </w:rPr>
    </w:lvl>
    <w:lvl w:ilvl="4" w:tplc="08090003" w:tentative="1">
      <w:start w:val="1"/>
      <w:numFmt w:val="bullet"/>
      <w:lvlText w:val="o"/>
      <w:lvlJc w:val="left"/>
      <w:pPr>
        <w:ind w:left="4941" w:hanging="360"/>
      </w:pPr>
      <w:rPr>
        <w:rFonts w:ascii="Courier New" w:hAnsi="Courier New" w:cs="Courier New" w:hint="default"/>
      </w:rPr>
    </w:lvl>
    <w:lvl w:ilvl="5" w:tplc="08090005" w:tentative="1">
      <w:start w:val="1"/>
      <w:numFmt w:val="bullet"/>
      <w:lvlText w:val=""/>
      <w:lvlJc w:val="left"/>
      <w:pPr>
        <w:ind w:left="5661" w:hanging="360"/>
      </w:pPr>
      <w:rPr>
        <w:rFonts w:ascii="Wingdings" w:hAnsi="Wingdings" w:hint="default"/>
      </w:rPr>
    </w:lvl>
    <w:lvl w:ilvl="6" w:tplc="08090001" w:tentative="1">
      <w:start w:val="1"/>
      <w:numFmt w:val="bullet"/>
      <w:lvlText w:val=""/>
      <w:lvlJc w:val="left"/>
      <w:pPr>
        <w:ind w:left="6381" w:hanging="360"/>
      </w:pPr>
      <w:rPr>
        <w:rFonts w:ascii="Symbol" w:hAnsi="Symbol" w:hint="default"/>
      </w:rPr>
    </w:lvl>
    <w:lvl w:ilvl="7" w:tplc="08090003" w:tentative="1">
      <w:start w:val="1"/>
      <w:numFmt w:val="bullet"/>
      <w:lvlText w:val="o"/>
      <w:lvlJc w:val="left"/>
      <w:pPr>
        <w:ind w:left="7101" w:hanging="360"/>
      </w:pPr>
      <w:rPr>
        <w:rFonts w:ascii="Courier New" w:hAnsi="Courier New" w:cs="Courier New" w:hint="default"/>
      </w:rPr>
    </w:lvl>
    <w:lvl w:ilvl="8" w:tplc="08090005" w:tentative="1">
      <w:start w:val="1"/>
      <w:numFmt w:val="bullet"/>
      <w:lvlText w:val=""/>
      <w:lvlJc w:val="left"/>
      <w:pPr>
        <w:ind w:left="7821" w:hanging="360"/>
      </w:pPr>
      <w:rPr>
        <w:rFonts w:ascii="Wingdings" w:hAnsi="Wingdings" w:hint="default"/>
      </w:rPr>
    </w:lvl>
  </w:abstractNum>
  <w:abstractNum w:abstractNumId="21" w15:restartNumberingAfterBreak="0">
    <w:nsid w:val="47C47666"/>
    <w:multiLevelType w:val="hybridMultilevel"/>
    <w:tmpl w:val="141E0B6C"/>
    <w:lvl w:ilvl="0" w:tplc="DABE4B88">
      <w:start w:val="1"/>
      <w:numFmt w:val="decimal"/>
      <w:pStyle w:val="Heading3"/>
      <w:lvlText w:val="%1."/>
      <w:lvlJc w:val="left"/>
      <w:pPr>
        <w:ind w:left="720" w:hanging="360"/>
      </w:pPr>
    </w:lvl>
    <w:lvl w:ilvl="1" w:tplc="0B8092C4" w:tentative="1">
      <w:start w:val="1"/>
      <w:numFmt w:val="lowerLetter"/>
      <w:lvlText w:val="%2."/>
      <w:lvlJc w:val="left"/>
      <w:pPr>
        <w:ind w:left="1440" w:hanging="360"/>
      </w:pPr>
    </w:lvl>
    <w:lvl w:ilvl="2" w:tplc="E278C9C0" w:tentative="1">
      <w:start w:val="1"/>
      <w:numFmt w:val="lowerRoman"/>
      <w:lvlText w:val="%3."/>
      <w:lvlJc w:val="right"/>
      <w:pPr>
        <w:ind w:left="2160" w:hanging="180"/>
      </w:pPr>
    </w:lvl>
    <w:lvl w:ilvl="3" w:tplc="458A55CE" w:tentative="1">
      <w:start w:val="1"/>
      <w:numFmt w:val="decimal"/>
      <w:lvlText w:val="%4."/>
      <w:lvlJc w:val="left"/>
      <w:pPr>
        <w:ind w:left="2880" w:hanging="360"/>
      </w:pPr>
    </w:lvl>
    <w:lvl w:ilvl="4" w:tplc="1B804F94" w:tentative="1">
      <w:start w:val="1"/>
      <w:numFmt w:val="lowerLetter"/>
      <w:lvlText w:val="%5."/>
      <w:lvlJc w:val="left"/>
      <w:pPr>
        <w:ind w:left="3600" w:hanging="360"/>
      </w:pPr>
    </w:lvl>
    <w:lvl w:ilvl="5" w:tplc="6EEE33F8" w:tentative="1">
      <w:start w:val="1"/>
      <w:numFmt w:val="lowerRoman"/>
      <w:lvlText w:val="%6."/>
      <w:lvlJc w:val="right"/>
      <w:pPr>
        <w:ind w:left="4320" w:hanging="180"/>
      </w:pPr>
    </w:lvl>
    <w:lvl w:ilvl="6" w:tplc="14A44492" w:tentative="1">
      <w:start w:val="1"/>
      <w:numFmt w:val="decimal"/>
      <w:lvlText w:val="%7."/>
      <w:lvlJc w:val="left"/>
      <w:pPr>
        <w:ind w:left="5040" w:hanging="360"/>
      </w:pPr>
    </w:lvl>
    <w:lvl w:ilvl="7" w:tplc="F2822248" w:tentative="1">
      <w:start w:val="1"/>
      <w:numFmt w:val="lowerLetter"/>
      <w:lvlText w:val="%8."/>
      <w:lvlJc w:val="left"/>
      <w:pPr>
        <w:ind w:left="5760" w:hanging="360"/>
      </w:pPr>
    </w:lvl>
    <w:lvl w:ilvl="8" w:tplc="703E75BA" w:tentative="1">
      <w:start w:val="1"/>
      <w:numFmt w:val="lowerRoman"/>
      <w:lvlText w:val="%9."/>
      <w:lvlJc w:val="right"/>
      <w:pPr>
        <w:ind w:left="6480" w:hanging="180"/>
      </w:pPr>
    </w:lvl>
  </w:abstractNum>
  <w:abstractNum w:abstractNumId="22" w15:restartNumberingAfterBreak="0">
    <w:nsid w:val="4DBB52F1"/>
    <w:multiLevelType w:val="hybridMultilevel"/>
    <w:tmpl w:val="36723876"/>
    <w:lvl w:ilvl="0" w:tplc="F0885BE4">
      <w:start w:val="1"/>
      <w:numFmt w:val="decimal"/>
      <w:lvlText w:val="%1."/>
      <w:lvlJc w:val="left"/>
      <w:pPr>
        <w:ind w:left="720" w:hanging="360"/>
      </w:pPr>
    </w:lvl>
    <w:lvl w:ilvl="1" w:tplc="B34048EE" w:tentative="1">
      <w:start w:val="1"/>
      <w:numFmt w:val="bullet"/>
      <w:lvlText w:val="o"/>
      <w:lvlJc w:val="left"/>
      <w:pPr>
        <w:ind w:left="1440" w:hanging="360"/>
      </w:pPr>
      <w:rPr>
        <w:rFonts w:ascii="Courier New" w:hAnsi="Courier New" w:hint="default"/>
      </w:rPr>
    </w:lvl>
    <w:lvl w:ilvl="2" w:tplc="48E634AA" w:tentative="1">
      <w:start w:val="1"/>
      <w:numFmt w:val="bullet"/>
      <w:lvlText w:val=""/>
      <w:lvlJc w:val="left"/>
      <w:pPr>
        <w:ind w:left="2160" w:hanging="360"/>
      </w:pPr>
      <w:rPr>
        <w:rFonts w:ascii="Wingdings" w:hAnsi="Wingdings" w:hint="default"/>
      </w:rPr>
    </w:lvl>
    <w:lvl w:ilvl="3" w:tplc="B2DC34F4" w:tentative="1">
      <w:start w:val="1"/>
      <w:numFmt w:val="bullet"/>
      <w:lvlText w:val=""/>
      <w:lvlJc w:val="left"/>
      <w:pPr>
        <w:ind w:left="2880" w:hanging="360"/>
      </w:pPr>
      <w:rPr>
        <w:rFonts w:ascii="Symbol" w:hAnsi="Symbol" w:hint="default"/>
      </w:rPr>
    </w:lvl>
    <w:lvl w:ilvl="4" w:tplc="F9361012" w:tentative="1">
      <w:start w:val="1"/>
      <w:numFmt w:val="bullet"/>
      <w:lvlText w:val="o"/>
      <w:lvlJc w:val="left"/>
      <w:pPr>
        <w:ind w:left="3600" w:hanging="360"/>
      </w:pPr>
      <w:rPr>
        <w:rFonts w:ascii="Courier New" w:hAnsi="Courier New" w:hint="default"/>
      </w:rPr>
    </w:lvl>
    <w:lvl w:ilvl="5" w:tplc="0380A006" w:tentative="1">
      <w:start w:val="1"/>
      <w:numFmt w:val="bullet"/>
      <w:lvlText w:val=""/>
      <w:lvlJc w:val="left"/>
      <w:pPr>
        <w:ind w:left="4320" w:hanging="360"/>
      </w:pPr>
      <w:rPr>
        <w:rFonts w:ascii="Wingdings" w:hAnsi="Wingdings" w:hint="default"/>
      </w:rPr>
    </w:lvl>
    <w:lvl w:ilvl="6" w:tplc="7A242730" w:tentative="1">
      <w:start w:val="1"/>
      <w:numFmt w:val="bullet"/>
      <w:lvlText w:val=""/>
      <w:lvlJc w:val="left"/>
      <w:pPr>
        <w:ind w:left="5040" w:hanging="360"/>
      </w:pPr>
      <w:rPr>
        <w:rFonts w:ascii="Symbol" w:hAnsi="Symbol" w:hint="default"/>
      </w:rPr>
    </w:lvl>
    <w:lvl w:ilvl="7" w:tplc="A32C62F0" w:tentative="1">
      <w:start w:val="1"/>
      <w:numFmt w:val="bullet"/>
      <w:lvlText w:val="o"/>
      <w:lvlJc w:val="left"/>
      <w:pPr>
        <w:ind w:left="5760" w:hanging="360"/>
      </w:pPr>
      <w:rPr>
        <w:rFonts w:ascii="Courier New" w:hAnsi="Courier New" w:hint="default"/>
      </w:rPr>
    </w:lvl>
    <w:lvl w:ilvl="8" w:tplc="12AA761E" w:tentative="1">
      <w:start w:val="1"/>
      <w:numFmt w:val="bullet"/>
      <w:lvlText w:val=""/>
      <w:lvlJc w:val="left"/>
      <w:pPr>
        <w:ind w:left="6480" w:hanging="360"/>
      </w:pPr>
      <w:rPr>
        <w:rFonts w:ascii="Wingdings" w:hAnsi="Wingdings" w:hint="default"/>
      </w:rPr>
    </w:lvl>
  </w:abstractNum>
  <w:abstractNum w:abstractNumId="23" w15:restartNumberingAfterBreak="0">
    <w:nsid w:val="50B02483"/>
    <w:multiLevelType w:val="hybridMultilevel"/>
    <w:tmpl w:val="B9021B9C"/>
    <w:lvl w:ilvl="0" w:tplc="0809000F">
      <w:start w:val="1"/>
      <w:numFmt w:val="decimal"/>
      <w:lvlText w:val="%1."/>
      <w:lvlJc w:val="left"/>
      <w:pPr>
        <w:ind w:left="2061" w:hanging="360"/>
      </w:pPr>
    </w:lvl>
    <w:lvl w:ilvl="1" w:tplc="08090019" w:tentative="1">
      <w:start w:val="1"/>
      <w:numFmt w:val="lowerLetter"/>
      <w:lvlText w:val="%2."/>
      <w:lvlJc w:val="left"/>
      <w:pPr>
        <w:ind w:left="2781" w:hanging="360"/>
      </w:pPr>
    </w:lvl>
    <w:lvl w:ilvl="2" w:tplc="0809001B" w:tentative="1">
      <w:start w:val="1"/>
      <w:numFmt w:val="lowerRoman"/>
      <w:lvlText w:val="%3."/>
      <w:lvlJc w:val="right"/>
      <w:pPr>
        <w:ind w:left="3501" w:hanging="180"/>
      </w:pPr>
    </w:lvl>
    <w:lvl w:ilvl="3" w:tplc="0809000F" w:tentative="1">
      <w:start w:val="1"/>
      <w:numFmt w:val="decimal"/>
      <w:lvlText w:val="%4."/>
      <w:lvlJc w:val="left"/>
      <w:pPr>
        <w:ind w:left="4221" w:hanging="360"/>
      </w:pPr>
    </w:lvl>
    <w:lvl w:ilvl="4" w:tplc="08090019" w:tentative="1">
      <w:start w:val="1"/>
      <w:numFmt w:val="lowerLetter"/>
      <w:lvlText w:val="%5."/>
      <w:lvlJc w:val="left"/>
      <w:pPr>
        <w:ind w:left="4941" w:hanging="360"/>
      </w:pPr>
    </w:lvl>
    <w:lvl w:ilvl="5" w:tplc="0809001B" w:tentative="1">
      <w:start w:val="1"/>
      <w:numFmt w:val="lowerRoman"/>
      <w:lvlText w:val="%6."/>
      <w:lvlJc w:val="right"/>
      <w:pPr>
        <w:ind w:left="5661" w:hanging="180"/>
      </w:pPr>
    </w:lvl>
    <w:lvl w:ilvl="6" w:tplc="0809000F" w:tentative="1">
      <w:start w:val="1"/>
      <w:numFmt w:val="decimal"/>
      <w:lvlText w:val="%7."/>
      <w:lvlJc w:val="left"/>
      <w:pPr>
        <w:ind w:left="6381" w:hanging="360"/>
      </w:pPr>
    </w:lvl>
    <w:lvl w:ilvl="7" w:tplc="08090019" w:tentative="1">
      <w:start w:val="1"/>
      <w:numFmt w:val="lowerLetter"/>
      <w:lvlText w:val="%8."/>
      <w:lvlJc w:val="left"/>
      <w:pPr>
        <w:ind w:left="7101" w:hanging="360"/>
      </w:pPr>
    </w:lvl>
    <w:lvl w:ilvl="8" w:tplc="0809001B" w:tentative="1">
      <w:start w:val="1"/>
      <w:numFmt w:val="lowerRoman"/>
      <w:lvlText w:val="%9."/>
      <w:lvlJc w:val="right"/>
      <w:pPr>
        <w:ind w:left="7821" w:hanging="180"/>
      </w:pPr>
    </w:lvl>
  </w:abstractNum>
  <w:abstractNum w:abstractNumId="24" w15:restartNumberingAfterBreak="0">
    <w:nsid w:val="667600A6"/>
    <w:multiLevelType w:val="multilevel"/>
    <w:tmpl w:val="1EECB3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2364E16"/>
    <w:multiLevelType w:val="multilevel"/>
    <w:tmpl w:val="BFDE2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65F6243"/>
    <w:multiLevelType w:val="hybridMultilevel"/>
    <w:tmpl w:val="756870A4"/>
    <w:lvl w:ilvl="0" w:tplc="0DEC9D32">
      <w:numFmt w:val="bullet"/>
      <w:lvlText w:val="•"/>
      <w:lvlJc w:val="left"/>
      <w:pPr>
        <w:ind w:left="1080" w:hanging="720"/>
      </w:pPr>
      <w:rPr>
        <w:rFonts w:ascii="Aptos" w:hAnsi="Aptos" w:hint="default"/>
      </w:rPr>
    </w:lvl>
    <w:lvl w:ilvl="1" w:tplc="26C00F0E" w:tentative="1">
      <w:start w:val="1"/>
      <w:numFmt w:val="bullet"/>
      <w:lvlText w:val="o"/>
      <w:lvlJc w:val="left"/>
      <w:pPr>
        <w:ind w:left="1440" w:hanging="360"/>
      </w:pPr>
      <w:rPr>
        <w:rFonts w:ascii="Courier New" w:hAnsi="Courier New" w:hint="default"/>
      </w:rPr>
    </w:lvl>
    <w:lvl w:ilvl="2" w:tplc="EBC818A8" w:tentative="1">
      <w:start w:val="1"/>
      <w:numFmt w:val="bullet"/>
      <w:lvlText w:val=""/>
      <w:lvlJc w:val="left"/>
      <w:pPr>
        <w:ind w:left="2160" w:hanging="360"/>
      </w:pPr>
      <w:rPr>
        <w:rFonts w:ascii="Wingdings" w:hAnsi="Wingdings" w:hint="default"/>
      </w:rPr>
    </w:lvl>
    <w:lvl w:ilvl="3" w:tplc="6142BBF2" w:tentative="1">
      <w:start w:val="1"/>
      <w:numFmt w:val="bullet"/>
      <w:lvlText w:val=""/>
      <w:lvlJc w:val="left"/>
      <w:pPr>
        <w:ind w:left="2880" w:hanging="360"/>
      </w:pPr>
      <w:rPr>
        <w:rFonts w:ascii="Symbol" w:hAnsi="Symbol" w:hint="default"/>
      </w:rPr>
    </w:lvl>
    <w:lvl w:ilvl="4" w:tplc="BA502B76" w:tentative="1">
      <w:start w:val="1"/>
      <w:numFmt w:val="bullet"/>
      <w:lvlText w:val="o"/>
      <w:lvlJc w:val="left"/>
      <w:pPr>
        <w:ind w:left="3600" w:hanging="360"/>
      </w:pPr>
      <w:rPr>
        <w:rFonts w:ascii="Courier New" w:hAnsi="Courier New" w:hint="default"/>
      </w:rPr>
    </w:lvl>
    <w:lvl w:ilvl="5" w:tplc="B254C444" w:tentative="1">
      <w:start w:val="1"/>
      <w:numFmt w:val="bullet"/>
      <w:lvlText w:val=""/>
      <w:lvlJc w:val="left"/>
      <w:pPr>
        <w:ind w:left="4320" w:hanging="360"/>
      </w:pPr>
      <w:rPr>
        <w:rFonts w:ascii="Wingdings" w:hAnsi="Wingdings" w:hint="default"/>
      </w:rPr>
    </w:lvl>
    <w:lvl w:ilvl="6" w:tplc="1278EBE8" w:tentative="1">
      <w:start w:val="1"/>
      <w:numFmt w:val="bullet"/>
      <w:lvlText w:val=""/>
      <w:lvlJc w:val="left"/>
      <w:pPr>
        <w:ind w:left="5040" w:hanging="360"/>
      </w:pPr>
      <w:rPr>
        <w:rFonts w:ascii="Symbol" w:hAnsi="Symbol" w:hint="default"/>
      </w:rPr>
    </w:lvl>
    <w:lvl w:ilvl="7" w:tplc="A2E0EBB0" w:tentative="1">
      <w:start w:val="1"/>
      <w:numFmt w:val="bullet"/>
      <w:lvlText w:val="o"/>
      <w:lvlJc w:val="left"/>
      <w:pPr>
        <w:ind w:left="5760" w:hanging="360"/>
      </w:pPr>
      <w:rPr>
        <w:rFonts w:ascii="Courier New" w:hAnsi="Courier New" w:hint="default"/>
      </w:rPr>
    </w:lvl>
    <w:lvl w:ilvl="8" w:tplc="7BBA1952" w:tentative="1">
      <w:start w:val="1"/>
      <w:numFmt w:val="bullet"/>
      <w:lvlText w:val=""/>
      <w:lvlJc w:val="left"/>
      <w:pPr>
        <w:ind w:left="6480" w:hanging="360"/>
      </w:pPr>
      <w:rPr>
        <w:rFonts w:ascii="Wingdings" w:hAnsi="Wingdings" w:hint="default"/>
      </w:rPr>
    </w:lvl>
  </w:abstractNum>
  <w:abstractNum w:abstractNumId="27" w15:restartNumberingAfterBreak="0">
    <w:nsid w:val="79AE6A5D"/>
    <w:multiLevelType w:val="hybridMultilevel"/>
    <w:tmpl w:val="9ECA4EEC"/>
    <w:lvl w:ilvl="0" w:tplc="1412406E">
      <w:start w:val="1"/>
      <w:numFmt w:val="decimal"/>
      <w:lvlText w:val="%1)"/>
      <w:lvlJc w:val="left"/>
      <w:pPr>
        <w:ind w:left="1080" w:hanging="360"/>
      </w:pPr>
    </w:lvl>
    <w:lvl w:ilvl="1" w:tplc="2DBA9128">
      <w:start w:val="1"/>
      <w:numFmt w:val="decimal"/>
      <w:lvlText w:val="%2)"/>
      <w:lvlJc w:val="left"/>
      <w:pPr>
        <w:ind w:left="1080" w:hanging="360"/>
      </w:pPr>
    </w:lvl>
    <w:lvl w:ilvl="2" w:tplc="14544E4C">
      <w:start w:val="1"/>
      <w:numFmt w:val="decimal"/>
      <w:lvlText w:val="%3)"/>
      <w:lvlJc w:val="left"/>
      <w:pPr>
        <w:ind w:left="1080" w:hanging="360"/>
      </w:pPr>
    </w:lvl>
    <w:lvl w:ilvl="3" w:tplc="4EF8D1F4">
      <w:start w:val="1"/>
      <w:numFmt w:val="decimal"/>
      <w:lvlText w:val="%4)"/>
      <w:lvlJc w:val="left"/>
      <w:pPr>
        <w:ind w:left="1080" w:hanging="360"/>
      </w:pPr>
    </w:lvl>
    <w:lvl w:ilvl="4" w:tplc="346EC682">
      <w:start w:val="1"/>
      <w:numFmt w:val="decimal"/>
      <w:lvlText w:val="%5)"/>
      <w:lvlJc w:val="left"/>
      <w:pPr>
        <w:ind w:left="1080" w:hanging="360"/>
      </w:pPr>
    </w:lvl>
    <w:lvl w:ilvl="5" w:tplc="0CE4D9CA">
      <w:start w:val="1"/>
      <w:numFmt w:val="decimal"/>
      <w:lvlText w:val="%6)"/>
      <w:lvlJc w:val="left"/>
      <w:pPr>
        <w:ind w:left="1080" w:hanging="360"/>
      </w:pPr>
    </w:lvl>
    <w:lvl w:ilvl="6" w:tplc="921833BE">
      <w:start w:val="1"/>
      <w:numFmt w:val="decimal"/>
      <w:lvlText w:val="%7)"/>
      <w:lvlJc w:val="left"/>
      <w:pPr>
        <w:ind w:left="1080" w:hanging="360"/>
      </w:pPr>
    </w:lvl>
    <w:lvl w:ilvl="7" w:tplc="68B09EA0">
      <w:start w:val="1"/>
      <w:numFmt w:val="decimal"/>
      <w:lvlText w:val="%8)"/>
      <w:lvlJc w:val="left"/>
      <w:pPr>
        <w:ind w:left="1080" w:hanging="360"/>
      </w:pPr>
    </w:lvl>
    <w:lvl w:ilvl="8" w:tplc="C792AAFA">
      <w:start w:val="1"/>
      <w:numFmt w:val="decimal"/>
      <w:lvlText w:val="%9)"/>
      <w:lvlJc w:val="left"/>
      <w:pPr>
        <w:ind w:left="1080" w:hanging="360"/>
      </w:pPr>
    </w:lvl>
  </w:abstractNum>
  <w:abstractNum w:abstractNumId="28" w15:restartNumberingAfterBreak="0">
    <w:nsid w:val="7C7615AC"/>
    <w:multiLevelType w:val="hybridMultilevel"/>
    <w:tmpl w:val="586E0B5E"/>
    <w:lvl w:ilvl="0" w:tplc="65C00A46">
      <w:start w:val="1"/>
      <w:numFmt w:val="bullet"/>
      <w:lvlText w:val=""/>
      <w:lvlJc w:val="left"/>
      <w:pPr>
        <w:ind w:left="720" w:hanging="360"/>
      </w:pPr>
      <w:rPr>
        <w:rFonts w:ascii="Symbol" w:hAnsi="Symbol" w:hint="default"/>
      </w:rPr>
    </w:lvl>
    <w:lvl w:ilvl="1" w:tplc="598A6E9A" w:tentative="1">
      <w:start w:val="1"/>
      <w:numFmt w:val="bullet"/>
      <w:lvlText w:val="o"/>
      <w:lvlJc w:val="left"/>
      <w:pPr>
        <w:ind w:left="1440" w:hanging="360"/>
      </w:pPr>
      <w:rPr>
        <w:rFonts w:ascii="Courier New" w:hAnsi="Courier New" w:hint="default"/>
      </w:rPr>
    </w:lvl>
    <w:lvl w:ilvl="2" w:tplc="77CA267A" w:tentative="1">
      <w:start w:val="1"/>
      <w:numFmt w:val="bullet"/>
      <w:lvlText w:val=""/>
      <w:lvlJc w:val="left"/>
      <w:pPr>
        <w:ind w:left="2160" w:hanging="360"/>
      </w:pPr>
      <w:rPr>
        <w:rFonts w:ascii="Wingdings" w:hAnsi="Wingdings" w:hint="default"/>
      </w:rPr>
    </w:lvl>
    <w:lvl w:ilvl="3" w:tplc="7BC0D388" w:tentative="1">
      <w:start w:val="1"/>
      <w:numFmt w:val="bullet"/>
      <w:lvlText w:val=""/>
      <w:lvlJc w:val="left"/>
      <w:pPr>
        <w:ind w:left="2880" w:hanging="360"/>
      </w:pPr>
      <w:rPr>
        <w:rFonts w:ascii="Symbol" w:hAnsi="Symbol" w:hint="default"/>
      </w:rPr>
    </w:lvl>
    <w:lvl w:ilvl="4" w:tplc="811A30B6" w:tentative="1">
      <w:start w:val="1"/>
      <w:numFmt w:val="bullet"/>
      <w:lvlText w:val="o"/>
      <w:lvlJc w:val="left"/>
      <w:pPr>
        <w:ind w:left="3600" w:hanging="360"/>
      </w:pPr>
      <w:rPr>
        <w:rFonts w:ascii="Courier New" w:hAnsi="Courier New" w:hint="default"/>
      </w:rPr>
    </w:lvl>
    <w:lvl w:ilvl="5" w:tplc="36466F92" w:tentative="1">
      <w:start w:val="1"/>
      <w:numFmt w:val="bullet"/>
      <w:lvlText w:val=""/>
      <w:lvlJc w:val="left"/>
      <w:pPr>
        <w:ind w:left="4320" w:hanging="360"/>
      </w:pPr>
      <w:rPr>
        <w:rFonts w:ascii="Wingdings" w:hAnsi="Wingdings" w:hint="default"/>
      </w:rPr>
    </w:lvl>
    <w:lvl w:ilvl="6" w:tplc="B52003DC" w:tentative="1">
      <w:start w:val="1"/>
      <w:numFmt w:val="bullet"/>
      <w:lvlText w:val=""/>
      <w:lvlJc w:val="left"/>
      <w:pPr>
        <w:ind w:left="5040" w:hanging="360"/>
      </w:pPr>
      <w:rPr>
        <w:rFonts w:ascii="Symbol" w:hAnsi="Symbol" w:hint="default"/>
      </w:rPr>
    </w:lvl>
    <w:lvl w:ilvl="7" w:tplc="6ECC185C" w:tentative="1">
      <w:start w:val="1"/>
      <w:numFmt w:val="bullet"/>
      <w:lvlText w:val="o"/>
      <w:lvlJc w:val="left"/>
      <w:pPr>
        <w:ind w:left="5760" w:hanging="360"/>
      </w:pPr>
      <w:rPr>
        <w:rFonts w:ascii="Courier New" w:hAnsi="Courier New" w:hint="default"/>
      </w:rPr>
    </w:lvl>
    <w:lvl w:ilvl="8" w:tplc="FF78570E" w:tentative="1">
      <w:start w:val="1"/>
      <w:numFmt w:val="bullet"/>
      <w:lvlText w:val=""/>
      <w:lvlJc w:val="left"/>
      <w:pPr>
        <w:ind w:left="6480" w:hanging="360"/>
      </w:pPr>
      <w:rPr>
        <w:rFonts w:ascii="Wingdings" w:hAnsi="Wingdings" w:hint="default"/>
      </w:rPr>
    </w:lvl>
  </w:abstractNum>
  <w:num w:numId="1" w16cid:durableId="218439662">
    <w:abstractNumId w:val="16"/>
  </w:num>
  <w:num w:numId="2" w16cid:durableId="476143366">
    <w:abstractNumId w:val="18"/>
  </w:num>
  <w:num w:numId="3" w16cid:durableId="1608077074">
    <w:abstractNumId w:val="17"/>
  </w:num>
  <w:num w:numId="4" w16cid:durableId="2050718300">
    <w:abstractNumId w:val="28"/>
  </w:num>
  <w:num w:numId="5" w16cid:durableId="609896399">
    <w:abstractNumId w:val="22"/>
  </w:num>
  <w:num w:numId="6" w16cid:durableId="1119304529">
    <w:abstractNumId w:val="21"/>
  </w:num>
  <w:num w:numId="7" w16cid:durableId="1151947672">
    <w:abstractNumId w:val="14"/>
  </w:num>
  <w:num w:numId="8" w16cid:durableId="881941346">
    <w:abstractNumId w:val="10"/>
  </w:num>
  <w:num w:numId="9" w16cid:durableId="303463517">
    <w:abstractNumId w:val="27"/>
  </w:num>
  <w:num w:numId="10" w16cid:durableId="1091971041">
    <w:abstractNumId w:val="12"/>
  </w:num>
  <w:num w:numId="11" w16cid:durableId="826287613">
    <w:abstractNumId w:val="26"/>
  </w:num>
  <w:num w:numId="12" w16cid:durableId="36441823">
    <w:abstractNumId w:val="20"/>
  </w:num>
  <w:num w:numId="13" w16cid:durableId="418865293">
    <w:abstractNumId w:val="23"/>
  </w:num>
  <w:num w:numId="14" w16cid:durableId="902716723">
    <w:abstractNumId w:val="15"/>
  </w:num>
  <w:num w:numId="15" w16cid:durableId="455368036">
    <w:abstractNumId w:val="11"/>
  </w:num>
  <w:num w:numId="16" w16cid:durableId="1463570529">
    <w:abstractNumId w:val="24"/>
  </w:num>
  <w:num w:numId="17" w16cid:durableId="2142264941">
    <w:abstractNumId w:val="19"/>
  </w:num>
  <w:num w:numId="18" w16cid:durableId="1329214289">
    <w:abstractNumId w:val="25"/>
  </w:num>
  <w:num w:numId="19" w16cid:durableId="186481265">
    <w:abstractNumId w:val="13"/>
  </w:num>
  <w:num w:numId="20" w16cid:durableId="394165141">
    <w:abstractNumId w:val="9"/>
  </w:num>
  <w:num w:numId="21" w16cid:durableId="455179237">
    <w:abstractNumId w:val="7"/>
  </w:num>
  <w:num w:numId="22" w16cid:durableId="1829785424">
    <w:abstractNumId w:val="6"/>
  </w:num>
  <w:num w:numId="23" w16cid:durableId="1364404846">
    <w:abstractNumId w:val="5"/>
  </w:num>
  <w:num w:numId="24" w16cid:durableId="377971838">
    <w:abstractNumId w:val="4"/>
  </w:num>
  <w:num w:numId="25" w16cid:durableId="1969847842">
    <w:abstractNumId w:val="8"/>
  </w:num>
  <w:num w:numId="26" w16cid:durableId="53554732">
    <w:abstractNumId w:val="3"/>
  </w:num>
  <w:num w:numId="27" w16cid:durableId="853031499">
    <w:abstractNumId w:val="2"/>
  </w:num>
  <w:num w:numId="28" w16cid:durableId="1359576230">
    <w:abstractNumId w:val="1"/>
  </w:num>
  <w:num w:numId="29" w16cid:durableId="4363638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BDA"/>
    <w:rsid w:val="00000130"/>
    <w:rsid w:val="000005CB"/>
    <w:rsid w:val="00000C6F"/>
    <w:rsid w:val="00001222"/>
    <w:rsid w:val="00002B7A"/>
    <w:rsid w:val="00003997"/>
    <w:rsid w:val="000053BF"/>
    <w:rsid w:val="00005CB8"/>
    <w:rsid w:val="00007141"/>
    <w:rsid w:val="00010F26"/>
    <w:rsid w:val="00011591"/>
    <w:rsid w:val="0001296C"/>
    <w:rsid w:val="00013B85"/>
    <w:rsid w:val="00013EDF"/>
    <w:rsid w:val="000143FA"/>
    <w:rsid w:val="000165C7"/>
    <w:rsid w:val="000208F5"/>
    <w:rsid w:val="00020BCB"/>
    <w:rsid w:val="00020E65"/>
    <w:rsid w:val="000216B0"/>
    <w:rsid w:val="00021783"/>
    <w:rsid w:val="00022A46"/>
    <w:rsid w:val="00022FA5"/>
    <w:rsid w:val="00024380"/>
    <w:rsid w:val="00025A86"/>
    <w:rsid w:val="00025F10"/>
    <w:rsid w:val="000261BE"/>
    <w:rsid w:val="00027D81"/>
    <w:rsid w:val="00027E29"/>
    <w:rsid w:val="00030D93"/>
    <w:rsid w:val="000323F3"/>
    <w:rsid w:val="00034FC4"/>
    <w:rsid w:val="000441C4"/>
    <w:rsid w:val="00045393"/>
    <w:rsid w:val="0004618D"/>
    <w:rsid w:val="000502CD"/>
    <w:rsid w:val="00051D78"/>
    <w:rsid w:val="0005421D"/>
    <w:rsid w:val="000545D0"/>
    <w:rsid w:val="00054F46"/>
    <w:rsid w:val="00060A97"/>
    <w:rsid w:val="00062D07"/>
    <w:rsid w:val="00063272"/>
    <w:rsid w:val="0006452E"/>
    <w:rsid w:val="0006767B"/>
    <w:rsid w:val="00067F70"/>
    <w:rsid w:val="0007072C"/>
    <w:rsid w:val="000715C0"/>
    <w:rsid w:val="000722AF"/>
    <w:rsid w:val="0007413C"/>
    <w:rsid w:val="0007500F"/>
    <w:rsid w:val="000762F4"/>
    <w:rsid w:val="00077E25"/>
    <w:rsid w:val="0008092D"/>
    <w:rsid w:val="000829A5"/>
    <w:rsid w:val="00083067"/>
    <w:rsid w:val="00083ACB"/>
    <w:rsid w:val="00083E17"/>
    <w:rsid w:val="0008439B"/>
    <w:rsid w:val="00085F8C"/>
    <w:rsid w:val="000869F8"/>
    <w:rsid w:val="00086B66"/>
    <w:rsid w:val="00086BD4"/>
    <w:rsid w:val="00090861"/>
    <w:rsid w:val="00090D23"/>
    <w:rsid w:val="00090E37"/>
    <w:rsid w:val="00090E59"/>
    <w:rsid w:val="00092CB2"/>
    <w:rsid w:val="00095C01"/>
    <w:rsid w:val="000963DB"/>
    <w:rsid w:val="0009777A"/>
    <w:rsid w:val="000A05A3"/>
    <w:rsid w:val="000A0BCE"/>
    <w:rsid w:val="000A17A5"/>
    <w:rsid w:val="000A1837"/>
    <w:rsid w:val="000A2ABA"/>
    <w:rsid w:val="000A47C0"/>
    <w:rsid w:val="000A5523"/>
    <w:rsid w:val="000B0E7D"/>
    <w:rsid w:val="000B153B"/>
    <w:rsid w:val="000B309E"/>
    <w:rsid w:val="000B3E69"/>
    <w:rsid w:val="000B6B09"/>
    <w:rsid w:val="000C0442"/>
    <w:rsid w:val="000C189D"/>
    <w:rsid w:val="000C3FE2"/>
    <w:rsid w:val="000C6D34"/>
    <w:rsid w:val="000C7AA2"/>
    <w:rsid w:val="000D0B77"/>
    <w:rsid w:val="000D125C"/>
    <w:rsid w:val="000D1F20"/>
    <w:rsid w:val="000D397C"/>
    <w:rsid w:val="000D4ED0"/>
    <w:rsid w:val="000D59B0"/>
    <w:rsid w:val="000D5B85"/>
    <w:rsid w:val="000D63A3"/>
    <w:rsid w:val="000D7A3F"/>
    <w:rsid w:val="000E0E37"/>
    <w:rsid w:val="000E117F"/>
    <w:rsid w:val="000E1BF2"/>
    <w:rsid w:val="000E2E85"/>
    <w:rsid w:val="000E3166"/>
    <w:rsid w:val="000E44FC"/>
    <w:rsid w:val="000E4C8B"/>
    <w:rsid w:val="000E547A"/>
    <w:rsid w:val="000E7C13"/>
    <w:rsid w:val="000E7D4E"/>
    <w:rsid w:val="000F032E"/>
    <w:rsid w:val="000F1BE5"/>
    <w:rsid w:val="000F5512"/>
    <w:rsid w:val="000F6EA0"/>
    <w:rsid w:val="000F73D4"/>
    <w:rsid w:val="001015F0"/>
    <w:rsid w:val="001016A8"/>
    <w:rsid w:val="00102989"/>
    <w:rsid w:val="00103E93"/>
    <w:rsid w:val="001045C8"/>
    <w:rsid w:val="0010499D"/>
    <w:rsid w:val="00106514"/>
    <w:rsid w:val="001075B2"/>
    <w:rsid w:val="00107FB5"/>
    <w:rsid w:val="00110522"/>
    <w:rsid w:val="001109F1"/>
    <w:rsid w:val="00110BA5"/>
    <w:rsid w:val="00110EAE"/>
    <w:rsid w:val="001112AF"/>
    <w:rsid w:val="00112532"/>
    <w:rsid w:val="00112D6A"/>
    <w:rsid w:val="00113334"/>
    <w:rsid w:val="00114A17"/>
    <w:rsid w:val="001156D6"/>
    <w:rsid w:val="00117652"/>
    <w:rsid w:val="001218D1"/>
    <w:rsid w:val="00121CC4"/>
    <w:rsid w:val="00122E1F"/>
    <w:rsid w:val="00123B2C"/>
    <w:rsid w:val="00123D74"/>
    <w:rsid w:val="00125490"/>
    <w:rsid w:val="001257BC"/>
    <w:rsid w:val="00125E48"/>
    <w:rsid w:val="001304C1"/>
    <w:rsid w:val="00131BE5"/>
    <w:rsid w:val="00133BFC"/>
    <w:rsid w:val="00134443"/>
    <w:rsid w:val="00134893"/>
    <w:rsid w:val="0013634F"/>
    <w:rsid w:val="00136BE6"/>
    <w:rsid w:val="00141164"/>
    <w:rsid w:val="001437A2"/>
    <w:rsid w:val="00144B18"/>
    <w:rsid w:val="0014520B"/>
    <w:rsid w:val="00145465"/>
    <w:rsid w:val="0014594D"/>
    <w:rsid w:val="00145C7B"/>
    <w:rsid w:val="00146A32"/>
    <w:rsid w:val="00146CD6"/>
    <w:rsid w:val="00147227"/>
    <w:rsid w:val="00147D81"/>
    <w:rsid w:val="00147DA4"/>
    <w:rsid w:val="00147E0C"/>
    <w:rsid w:val="00150629"/>
    <w:rsid w:val="0015583B"/>
    <w:rsid w:val="00155B99"/>
    <w:rsid w:val="00156CE5"/>
    <w:rsid w:val="00157CE6"/>
    <w:rsid w:val="00160694"/>
    <w:rsid w:val="00160BA6"/>
    <w:rsid w:val="00162F8A"/>
    <w:rsid w:val="00164DA6"/>
    <w:rsid w:val="001656C3"/>
    <w:rsid w:val="00165F80"/>
    <w:rsid w:val="00172BB4"/>
    <w:rsid w:val="001732C3"/>
    <w:rsid w:val="001739EE"/>
    <w:rsid w:val="00173C56"/>
    <w:rsid w:val="00175834"/>
    <w:rsid w:val="00175BE2"/>
    <w:rsid w:val="00175E28"/>
    <w:rsid w:val="00175F8C"/>
    <w:rsid w:val="00182A6B"/>
    <w:rsid w:val="001837D0"/>
    <w:rsid w:val="00184AA2"/>
    <w:rsid w:val="00186AB1"/>
    <w:rsid w:val="00190270"/>
    <w:rsid w:val="00190455"/>
    <w:rsid w:val="00190898"/>
    <w:rsid w:val="0019175E"/>
    <w:rsid w:val="0019286F"/>
    <w:rsid w:val="00192C0B"/>
    <w:rsid w:val="00193783"/>
    <w:rsid w:val="00193FDF"/>
    <w:rsid w:val="0019487D"/>
    <w:rsid w:val="00194D16"/>
    <w:rsid w:val="00194DF3"/>
    <w:rsid w:val="0019635E"/>
    <w:rsid w:val="00196E55"/>
    <w:rsid w:val="00197092"/>
    <w:rsid w:val="001972FE"/>
    <w:rsid w:val="001974FF"/>
    <w:rsid w:val="001A0134"/>
    <w:rsid w:val="001A0F38"/>
    <w:rsid w:val="001A1033"/>
    <w:rsid w:val="001A2155"/>
    <w:rsid w:val="001A2926"/>
    <w:rsid w:val="001A2CEE"/>
    <w:rsid w:val="001A434C"/>
    <w:rsid w:val="001A7998"/>
    <w:rsid w:val="001A7C6E"/>
    <w:rsid w:val="001B053A"/>
    <w:rsid w:val="001B08D1"/>
    <w:rsid w:val="001B23ED"/>
    <w:rsid w:val="001B25CA"/>
    <w:rsid w:val="001B3DC8"/>
    <w:rsid w:val="001B413C"/>
    <w:rsid w:val="001B60D0"/>
    <w:rsid w:val="001B6A60"/>
    <w:rsid w:val="001B7E5A"/>
    <w:rsid w:val="001C0108"/>
    <w:rsid w:val="001C0185"/>
    <w:rsid w:val="001C1688"/>
    <w:rsid w:val="001C1F03"/>
    <w:rsid w:val="001C3D1D"/>
    <w:rsid w:val="001C4004"/>
    <w:rsid w:val="001C4C7D"/>
    <w:rsid w:val="001C5753"/>
    <w:rsid w:val="001C68B2"/>
    <w:rsid w:val="001C706F"/>
    <w:rsid w:val="001D19F0"/>
    <w:rsid w:val="001D1AB0"/>
    <w:rsid w:val="001D2E6B"/>
    <w:rsid w:val="001D4CD7"/>
    <w:rsid w:val="001D5594"/>
    <w:rsid w:val="001D58F8"/>
    <w:rsid w:val="001D66F1"/>
    <w:rsid w:val="001D783D"/>
    <w:rsid w:val="001E03C5"/>
    <w:rsid w:val="001E0877"/>
    <w:rsid w:val="001E1761"/>
    <w:rsid w:val="001E2723"/>
    <w:rsid w:val="001E3A0C"/>
    <w:rsid w:val="001E4B54"/>
    <w:rsid w:val="001E7CA4"/>
    <w:rsid w:val="001F0BDB"/>
    <w:rsid w:val="001F202B"/>
    <w:rsid w:val="001F4872"/>
    <w:rsid w:val="001F4CCA"/>
    <w:rsid w:val="001F6AF2"/>
    <w:rsid w:val="00200139"/>
    <w:rsid w:val="00200307"/>
    <w:rsid w:val="00200F26"/>
    <w:rsid w:val="00201030"/>
    <w:rsid w:val="0020147C"/>
    <w:rsid w:val="002017ED"/>
    <w:rsid w:val="00202730"/>
    <w:rsid w:val="00203264"/>
    <w:rsid w:val="00203772"/>
    <w:rsid w:val="002038EE"/>
    <w:rsid w:val="00204381"/>
    <w:rsid w:val="002061D2"/>
    <w:rsid w:val="0020709F"/>
    <w:rsid w:val="002072CF"/>
    <w:rsid w:val="00211A8B"/>
    <w:rsid w:val="00212594"/>
    <w:rsid w:val="0021363A"/>
    <w:rsid w:val="0021371B"/>
    <w:rsid w:val="00213762"/>
    <w:rsid w:val="00213DEC"/>
    <w:rsid w:val="00215B5D"/>
    <w:rsid w:val="0021647A"/>
    <w:rsid w:val="002164B2"/>
    <w:rsid w:val="00217FE2"/>
    <w:rsid w:val="0022010A"/>
    <w:rsid w:val="0022090E"/>
    <w:rsid w:val="00220DA2"/>
    <w:rsid w:val="00221057"/>
    <w:rsid w:val="002217BC"/>
    <w:rsid w:val="00224AA1"/>
    <w:rsid w:val="00225C05"/>
    <w:rsid w:val="00230905"/>
    <w:rsid w:val="00231481"/>
    <w:rsid w:val="00231EA0"/>
    <w:rsid w:val="00231EAE"/>
    <w:rsid w:val="002323D2"/>
    <w:rsid w:val="0023271D"/>
    <w:rsid w:val="00234534"/>
    <w:rsid w:val="00234FB9"/>
    <w:rsid w:val="002369D1"/>
    <w:rsid w:val="00236D41"/>
    <w:rsid w:val="00236D85"/>
    <w:rsid w:val="00236E9B"/>
    <w:rsid w:val="00237790"/>
    <w:rsid w:val="00237FD2"/>
    <w:rsid w:val="0024501A"/>
    <w:rsid w:val="0025008D"/>
    <w:rsid w:val="00254C70"/>
    <w:rsid w:val="00257AF8"/>
    <w:rsid w:val="00261EE0"/>
    <w:rsid w:val="0026394B"/>
    <w:rsid w:val="0026453C"/>
    <w:rsid w:val="00264D2E"/>
    <w:rsid w:val="0026598A"/>
    <w:rsid w:val="0026649F"/>
    <w:rsid w:val="00266790"/>
    <w:rsid w:val="00266D83"/>
    <w:rsid w:val="002705A4"/>
    <w:rsid w:val="00270EE5"/>
    <w:rsid w:val="002716BE"/>
    <w:rsid w:val="002717A5"/>
    <w:rsid w:val="00274204"/>
    <w:rsid w:val="002747C7"/>
    <w:rsid w:val="00274FFA"/>
    <w:rsid w:val="002762D6"/>
    <w:rsid w:val="00276400"/>
    <w:rsid w:val="002767BC"/>
    <w:rsid w:val="0027710C"/>
    <w:rsid w:val="002779F1"/>
    <w:rsid w:val="00281289"/>
    <w:rsid w:val="002812CB"/>
    <w:rsid w:val="00282373"/>
    <w:rsid w:val="00282474"/>
    <w:rsid w:val="002826EF"/>
    <w:rsid w:val="00282B8F"/>
    <w:rsid w:val="002837E9"/>
    <w:rsid w:val="0028392E"/>
    <w:rsid w:val="0028429F"/>
    <w:rsid w:val="00284527"/>
    <w:rsid w:val="002850D5"/>
    <w:rsid w:val="00285151"/>
    <w:rsid w:val="00285A55"/>
    <w:rsid w:val="00285F72"/>
    <w:rsid w:val="00287D90"/>
    <w:rsid w:val="00297CC2"/>
    <w:rsid w:val="00297DBE"/>
    <w:rsid w:val="002A0A29"/>
    <w:rsid w:val="002A0EEB"/>
    <w:rsid w:val="002A2244"/>
    <w:rsid w:val="002A363C"/>
    <w:rsid w:val="002A3985"/>
    <w:rsid w:val="002A7D07"/>
    <w:rsid w:val="002B1059"/>
    <w:rsid w:val="002B1CCF"/>
    <w:rsid w:val="002B284B"/>
    <w:rsid w:val="002B2F03"/>
    <w:rsid w:val="002B5730"/>
    <w:rsid w:val="002B6D4A"/>
    <w:rsid w:val="002C0795"/>
    <w:rsid w:val="002C2889"/>
    <w:rsid w:val="002C2E2D"/>
    <w:rsid w:val="002C574C"/>
    <w:rsid w:val="002C6414"/>
    <w:rsid w:val="002D02EA"/>
    <w:rsid w:val="002D030D"/>
    <w:rsid w:val="002D1680"/>
    <w:rsid w:val="002D279C"/>
    <w:rsid w:val="002D3D91"/>
    <w:rsid w:val="002D4007"/>
    <w:rsid w:val="002D5D7B"/>
    <w:rsid w:val="002D605C"/>
    <w:rsid w:val="002D6F8E"/>
    <w:rsid w:val="002E0367"/>
    <w:rsid w:val="002E0A16"/>
    <w:rsid w:val="002E1605"/>
    <w:rsid w:val="002E17D8"/>
    <w:rsid w:val="002E24CE"/>
    <w:rsid w:val="002E2A78"/>
    <w:rsid w:val="002E316D"/>
    <w:rsid w:val="002E331E"/>
    <w:rsid w:val="002E3E8A"/>
    <w:rsid w:val="002E3FF2"/>
    <w:rsid w:val="002E6F90"/>
    <w:rsid w:val="002E710D"/>
    <w:rsid w:val="002E78CE"/>
    <w:rsid w:val="002F1838"/>
    <w:rsid w:val="002F26B9"/>
    <w:rsid w:val="002F31DE"/>
    <w:rsid w:val="002F552D"/>
    <w:rsid w:val="002F5B18"/>
    <w:rsid w:val="002F716E"/>
    <w:rsid w:val="002F7293"/>
    <w:rsid w:val="002F7359"/>
    <w:rsid w:val="002F799A"/>
    <w:rsid w:val="002F7FA2"/>
    <w:rsid w:val="00300336"/>
    <w:rsid w:val="00303854"/>
    <w:rsid w:val="00303A94"/>
    <w:rsid w:val="003040A4"/>
    <w:rsid w:val="00304A97"/>
    <w:rsid w:val="00307D90"/>
    <w:rsid w:val="0031047E"/>
    <w:rsid w:val="00310770"/>
    <w:rsid w:val="00310B31"/>
    <w:rsid w:val="003112E1"/>
    <w:rsid w:val="0031415A"/>
    <w:rsid w:val="00315050"/>
    <w:rsid w:val="00315F26"/>
    <w:rsid w:val="00320414"/>
    <w:rsid w:val="00321328"/>
    <w:rsid w:val="00325D2C"/>
    <w:rsid w:val="0032662C"/>
    <w:rsid w:val="00326F56"/>
    <w:rsid w:val="00326F9B"/>
    <w:rsid w:val="00327492"/>
    <w:rsid w:val="0033088A"/>
    <w:rsid w:val="003314AA"/>
    <w:rsid w:val="0033378B"/>
    <w:rsid w:val="003337B7"/>
    <w:rsid w:val="0033382C"/>
    <w:rsid w:val="0033420E"/>
    <w:rsid w:val="00334C96"/>
    <w:rsid w:val="00336755"/>
    <w:rsid w:val="00342EE8"/>
    <w:rsid w:val="003433A0"/>
    <w:rsid w:val="003433C6"/>
    <w:rsid w:val="00343B2C"/>
    <w:rsid w:val="003441CE"/>
    <w:rsid w:val="00344D12"/>
    <w:rsid w:val="0034510A"/>
    <w:rsid w:val="00347E16"/>
    <w:rsid w:val="00351731"/>
    <w:rsid w:val="003518B2"/>
    <w:rsid w:val="003521B6"/>
    <w:rsid w:val="0035254C"/>
    <w:rsid w:val="00352638"/>
    <w:rsid w:val="003563A0"/>
    <w:rsid w:val="00357AF0"/>
    <w:rsid w:val="00362CF3"/>
    <w:rsid w:val="003631E5"/>
    <w:rsid w:val="00364708"/>
    <w:rsid w:val="00364C20"/>
    <w:rsid w:val="00365060"/>
    <w:rsid w:val="0036545A"/>
    <w:rsid w:val="00365690"/>
    <w:rsid w:val="003660B0"/>
    <w:rsid w:val="003673EA"/>
    <w:rsid w:val="003676CD"/>
    <w:rsid w:val="00371CAF"/>
    <w:rsid w:val="0037398B"/>
    <w:rsid w:val="00373E9F"/>
    <w:rsid w:val="0038214F"/>
    <w:rsid w:val="0038227B"/>
    <w:rsid w:val="0038330D"/>
    <w:rsid w:val="0038385F"/>
    <w:rsid w:val="00384AF3"/>
    <w:rsid w:val="00386DA4"/>
    <w:rsid w:val="00390B73"/>
    <w:rsid w:val="00390E7C"/>
    <w:rsid w:val="003918AE"/>
    <w:rsid w:val="00393439"/>
    <w:rsid w:val="00393A29"/>
    <w:rsid w:val="003949C6"/>
    <w:rsid w:val="00394D82"/>
    <w:rsid w:val="00397997"/>
    <w:rsid w:val="00397B02"/>
    <w:rsid w:val="00397ECC"/>
    <w:rsid w:val="003A14DA"/>
    <w:rsid w:val="003A1CFB"/>
    <w:rsid w:val="003A204C"/>
    <w:rsid w:val="003A246B"/>
    <w:rsid w:val="003A6C30"/>
    <w:rsid w:val="003B0215"/>
    <w:rsid w:val="003B300E"/>
    <w:rsid w:val="003B33E6"/>
    <w:rsid w:val="003B3575"/>
    <w:rsid w:val="003B3C11"/>
    <w:rsid w:val="003B40B3"/>
    <w:rsid w:val="003B435F"/>
    <w:rsid w:val="003B652C"/>
    <w:rsid w:val="003B6A83"/>
    <w:rsid w:val="003B6D87"/>
    <w:rsid w:val="003C0DEA"/>
    <w:rsid w:val="003C349E"/>
    <w:rsid w:val="003C39A4"/>
    <w:rsid w:val="003C483D"/>
    <w:rsid w:val="003C508D"/>
    <w:rsid w:val="003C5BBD"/>
    <w:rsid w:val="003C6773"/>
    <w:rsid w:val="003C6FE8"/>
    <w:rsid w:val="003C744C"/>
    <w:rsid w:val="003D003E"/>
    <w:rsid w:val="003D0B76"/>
    <w:rsid w:val="003D0EF7"/>
    <w:rsid w:val="003D138E"/>
    <w:rsid w:val="003D1680"/>
    <w:rsid w:val="003D190A"/>
    <w:rsid w:val="003D1CBA"/>
    <w:rsid w:val="003D5563"/>
    <w:rsid w:val="003D6BB1"/>
    <w:rsid w:val="003D7034"/>
    <w:rsid w:val="003D7763"/>
    <w:rsid w:val="003E11F0"/>
    <w:rsid w:val="003E207B"/>
    <w:rsid w:val="003E2A5E"/>
    <w:rsid w:val="003E2AC4"/>
    <w:rsid w:val="003E32A6"/>
    <w:rsid w:val="003E38A0"/>
    <w:rsid w:val="003E3BCC"/>
    <w:rsid w:val="003E4EEE"/>
    <w:rsid w:val="003E7EED"/>
    <w:rsid w:val="003F0B27"/>
    <w:rsid w:val="003F0BDA"/>
    <w:rsid w:val="003F1311"/>
    <w:rsid w:val="003F32C7"/>
    <w:rsid w:val="003F34E3"/>
    <w:rsid w:val="003F59F0"/>
    <w:rsid w:val="00400873"/>
    <w:rsid w:val="0040098A"/>
    <w:rsid w:val="00402372"/>
    <w:rsid w:val="004026CE"/>
    <w:rsid w:val="00403274"/>
    <w:rsid w:val="00404E1F"/>
    <w:rsid w:val="004057BE"/>
    <w:rsid w:val="0041083D"/>
    <w:rsid w:val="00410CDD"/>
    <w:rsid w:val="00412222"/>
    <w:rsid w:val="00413601"/>
    <w:rsid w:val="00415AA4"/>
    <w:rsid w:val="004178D0"/>
    <w:rsid w:val="004213E4"/>
    <w:rsid w:val="0042157D"/>
    <w:rsid w:val="00423BCA"/>
    <w:rsid w:val="0042597A"/>
    <w:rsid w:val="00427171"/>
    <w:rsid w:val="0043095E"/>
    <w:rsid w:val="00432427"/>
    <w:rsid w:val="00432ABA"/>
    <w:rsid w:val="00432CB4"/>
    <w:rsid w:val="00433FB0"/>
    <w:rsid w:val="00436415"/>
    <w:rsid w:val="0043686F"/>
    <w:rsid w:val="00436A42"/>
    <w:rsid w:val="004371A4"/>
    <w:rsid w:val="00437EEB"/>
    <w:rsid w:val="004410FB"/>
    <w:rsid w:val="00445CE1"/>
    <w:rsid w:val="00445D6D"/>
    <w:rsid w:val="00446C46"/>
    <w:rsid w:val="00446DD9"/>
    <w:rsid w:val="00447036"/>
    <w:rsid w:val="00447A4B"/>
    <w:rsid w:val="00447C9E"/>
    <w:rsid w:val="00451057"/>
    <w:rsid w:val="00451C9E"/>
    <w:rsid w:val="00452931"/>
    <w:rsid w:val="00452CA4"/>
    <w:rsid w:val="00455AE5"/>
    <w:rsid w:val="00456215"/>
    <w:rsid w:val="00457A62"/>
    <w:rsid w:val="00457FD3"/>
    <w:rsid w:val="00460493"/>
    <w:rsid w:val="00460F33"/>
    <w:rsid w:val="00460F72"/>
    <w:rsid w:val="004635FE"/>
    <w:rsid w:val="00465F91"/>
    <w:rsid w:val="004663D0"/>
    <w:rsid w:val="00466D8D"/>
    <w:rsid w:val="004675B1"/>
    <w:rsid w:val="0047167A"/>
    <w:rsid w:val="00472398"/>
    <w:rsid w:val="00472432"/>
    <w:rsid w:val="004727D4"/>
    <w:rsid w:val="00472A7A"/>
    <w:rsid w:val="0047399E"/>
    <w:rsid w:val="00473C2F"/>
    <w:rsid w:val="00474668"/>
    <w:rsid w:val="004761F5"/>
    <w:rsid w:val="004770FB"/>
    <w:rsid w:val="004771B7"/>
    <w:rsid w:val="00480EB5"/>
    <w:rsid w:val="00481938"/>
    <w:rsid w:val="00482060"/>
    <w:rsid w:val="0048346C"/>
    <w:rsid w:val="0048567D"/>
    <w:rsid w:val="00486857"/>
    <w:rsid w:val="0048728F"/>
    <w:rsid w:val="004902DF"/>
    <w:rsid w:val="00490765"/>
    <w:rsid w:val="00491BAB"/>
    <w:rsid w:val="00492A31"/>
    <w:rsid w:val="0049320E"/>
    <w:rsid w:val="004943E4"/>
    <w:rsid w:val="00494D92"/>
    <w:rsid w:val="00494E97"/>
    <w:rsid w:val="00495F46"/>
    <w:rsid w:val="00496BAE"/>
    <w:rsid w:val="004A1D36"/>
    <w:rsid w:val="004A1DC5"/>
    <w:rsid w:val="004A24B8"/>
    <w:rsid w:val="004A2E59"/>
    <w:rsid w:val="004A409E"/>
    <w:rsid w:val="004A43F3"/>
    <w:rsid w:val="004A4805"/>
    <w:rsid w:val="004A56F5"/>
    <w:rsid w:val="004A58BF"/>
    <w:rsid w:val="004A6567"/>
    <w:rsid w:val="004B0502"/>
    <w:rsid w:val="004B0595"/>
    <w:rsid w:val="004B069E"/>
    <w:rsid w:val="004B08C8"/>
    <w:rsid w:val="004B1340"/>
    <w:rsid w:val="004B1C62"/>
    <w:rsid w:val="004B2509"/>
    <w:rsid w:val="004B27B9"/>
    <w:rsid w:val="004B36C9"/>
    <w:rsid w:val="004B4FD4"/>
    <w:rsid w:val="004B5378"/>
    <w:rsid w:val="004B6738"/>
    <w:rsid w:val="004B6DD7"/>
    <w:rsid w:val="004B6DF4"/>
    <w:rsid w:val="004C041C"/>
    <w:rsid w:val="004C08FB"/>
    <w:rsid w:val="004C2D1D"/>
    <w:rsid w:val="004C2D3B"/>
    <w:rsid w:val="004C3C86"/>
    <w:rsid w:val="004C44DE"/>
    <w:rsid w:val="004C58D7"/>
    <w:rsid w:val="004C5AF3"/>
    <w:rsid w:val="004C5E9F"/>
    <w:rsid w:val="004C6368"/>
    <w:rsid w:val="004C72C9"/>
    <w:rsid w:val="004D01E4"/>
    <w:rsid w:val="004D0E39"/>
    <w:rsid w:val="004D4B4D"/>
    <w:rsid w:val="004D5065"/>
    <w:rsid w:val="004D62AD"/>
    <w:rsid w:val="004D6E6E"/>
    <w:rsid w:val="004D749C"/>
    <w:rsid w:val="004E0497"/>
    <w:rsid w:val="004E11B1"/>
    <w:rsid w:val="004E12E1"/>
    <w:rsid w:val="004E15F9"/>
    <w:rsid w:val="004E386F"/>
    <w:rsid w:val="004E51A9"/>
    <w:rsid w:val="004E5B5C"/>
    <w:rsid w:val="004E6266"/>
    <w:rsid w:val="004F3034"/>
    <w:rsid w:val="004F3058"/>
    <w:rsid w:val="004F409F"/>
    <w:rsid w:val="004F464B"/>
    <w:rsid w:val="004F54BC"/>
    <w:rsid w:val="004F6957"/>
    <w:rsid w:val="004F7495"/>
    <w:rsid w:val="00501E09"/>
    <w:rsid w:val="00503CBA"/>
    <w:rsid w:val="00505781"/>
    <w:rsid w:val="00505DB5"/>
    <w:rsid w:val="005070E0"/>
    <w:rsid w:val="0050770C"/>
    <w:rsid w:val="00510157"/>
    <w:rsid w:val="005115FA"/>
    <w:rsid w:val="00515D66"/>
    <w:rsid w:val="00515FD4"/>
    <w:rsid w:val="005165B7"/>
    <w:rsid w:val="00521194"/>
    <w:rsid w:val="005211F5"/>
    <w:rsid w:val="00521DBC"/>
    <w:rsid w:val="0052259D"/>
    <w:rsid w:val="005227FD"/>
    <w:rsid w:val="00523100"/>
    <w:rsid w:val="00523A93"/>
    <w:rsid w:val="00526B24"/>
    <w:rsid w:val="0052731B"/>
    <w:rsid w:val="00527425"/>
    <w:rsid w:val="00527E42"/>
    <w:rsid w:val="00531A9A"/>
    <w:rsid w:val="00533160"/>
    <w:rsid w:val="00534073"/>
    <w:rsid w:val="0053496B"/>
    <w:rsid w:val="00536FA4"/>
    <w:rsid w:val="00540619"/>
    <w:rsid w:val="00541AC8"/>
    <w:rsid w:val="00541B04"/>
    <w:rsid w:val="00541BCB"/>
    <w:rsid w:val="00542D7B"/>
    <w:rsid w:val="00543E59"/>
    <w:rsid w:val="00544624"/>
    <w:rsid w:val="005452E8"/>
    <w:rsid w:val="00546F9B"/>
    <w:rsid w:val="00550512"/>
    <w:rsid w:val="00550593"/>
    <w:rsid w:val="0055253A"/>
    <w:rsid w:val="00553F96"/>
    <w:rsid w:val="00554B9A"/>
    <w:rsid w:val="0055703B"/>
    <w:rsid w:val="005624EF"/>
    <w:rsid w:val="00565350"/>
    <w:rsid w:val="0056778B"/>
    <w:rsid w:val="00570561"/>
    <w:rsid w:val="005716D5"/>
    <w:rsid w:val="005733F8"/>
    <w:rsid w:val="0057387B"/>
    <w:rsid w:val="00573FE6"/>
    <w:rsid w:val="00575BE6"/>
    <w:rsid w:val="00576996"/>
    <w:rsid w:val="0057753E"/>
    <w:rsid w:val="00577CD3"/>
    <w:rsid w:val="005801D7"/>
    <w:rsid w:val="0058527F"/>
    <w:rsid w:val="0058538E"/>
    <w:rsid w:val="00585AD1"/>
    <w:rsid w:val="0058626F"/>
    <w:rsid w:val="00586BF7"/>
    <w:rsid w:val="005876C2"/>
    <w:rsid w:val="00587CFC"/>
    <w:rsid w:val="00590332"/>
    <w:rsid w:val="005924DC"/>
    <w:rsid w:val="00592D75"/>
    <w:rsid w:val="00594B25"/>
    <w:rsid w:val="00594D56"/>
    <w:rsid w:val="005968F0"/>
    <w:rsid w:val="00596966"/>
    <w:rsid w:val="005A141D"/>
    <w:rsid w:val="005A16B0"/>
    <w:rsid w:val="005A1E3B"/>
    <w:rsid w:val="005A2968"/>
    <w:rsid w:val="005A2A69"/>
    <w:rsid w:val="005A39CB"/>
    <w:rsid w:val="005A3A0F"/>
    <w:rsid w:val="005A46D8"/>
    <w:rsid w:val="005A488F"/>
    <w:rsid w:val="005A4A86"/>
    <w:rsid w:val="005A4DD0"/>
    <w:rsid w:val="005A7669"/>
    <w:rsid w:val="005A78C4"/>
    <w:rsid w:val="005B081B"/>
    <w:rsid w:val="005B0D9E"/>
    <w:rsid w:val="005B1EBC"/>
    <w:rsid w:val="005B2430"/>
    <w:rsid w:val="005B3952"/>
    <w:rsid w:val="005B59EC"/>
    <w:rsid w:val="005C13A8"/>
    <w:rsid w:val="005C22BD"/>
    <w:rsid w:val="005C40F2"/>
    <w:rsid w:val="005C550A"/>
    <w:rsid w:val="005C590E"/>
    <w:rsid w:val="005D0753"/>
    <w:rsid w:val="005D0B2E"/>
    <w:rsid w:val="005D10C7"/>
    <w:rsid w:val="005D2A0D"/>
    <w:rsid w:val="005D315D"/>
    <w:rsid w:val="005D49E6"/>
    <w:rsid w:val="005D6E03"/>
    <w:rsid w:val="005D71E3"/>
    <w:rsid w:val="005D7FBB"/>
    <w:rsid w:val="005E0084"/>
    <w:rsid w:val="005E41AC"/>
    <w:rsid w:val="005E43C0"/>
    <w:rsid w:val="005E490A"/>
    <w:rsid w:val="005E6AFE"/>
    <w:rsid w:val="005E7250"/>
    <w:rsid w:val="005E7273"/>
    <w:rsid w:val="005F2DE0"/>
    <w:rsid w:val="005F4781"/>
    <w:rsid w:val="005F47B6"/>
    <w:rsid w:val="005F6A33"/>
    <w:rsid w:val="005F6E78"/>
    <w:rsid w:val="005F70EB"/>
    <w:rsid w:val="006000C8"/>
    <w:rsid w:val="00600536"/>
    <w:rsid w:val="00600C73"/>
    <w:rsid w:val="00600F56"/>
    <w:rsid w:val="006014E7"/>
    <w:rsid w:val="00606208"/>
    <w:rsid w:val="00607596"/>
    <w:rsid w:val="0060762B"/>
    <w:rsid w:val="006108BD"/>
    <w:rsid w:val="00611027"/>
    <w:rsid w:val="00611F81"/>
    <w:rsid w:val="00611FE0"/>
    <w:rsid w:val="006143E5"/>
    <w:rsid w:val="00615E7E"/>
    <w:rsid w:val="00615EB8"/>
    <w:rsid w:val="00617AB2"/>
    <w:rsid w:val="00620506"/>
    <w:rsid w:val="00622600"/>
    <w:rsid w:val="0062293B"/>
    <w:rsid w:val="00622A6E"/>
    <w:rsid w:val="006238A8"/>
    <w:rsid w:val="00623906"/>
    <w:rsid w:val="00624386"/>
    <w:rsid w:val="006245B8"/>
    <w:rsid w:val="0062554A"/>
    <w:rsid w:val="00626454"/>
    <w:rsid w:val="00626733"/>
    <w:rsid w:val="00626D75"/>
    <w:rsid w:val="00627ADE"/>
    <w:rsid w:val="0063177E"/>
    <w:rsid w:val="00631E26"/>
    <w:rsid w:val="0063391D"/>
    <w:rsid w:val="0063477B"/>
    <w:rsid w:val="006368BB"/>
    <w:rsid w:val="006370C8"/>
    <w:rsid w:val="006372AD"/>
    <w:rsid w:val="00640400"/>
    <w:rsid w:val="00641A6B"/>
    <w:rsid w:val="00642684"/>
    <w:rsid w:val="0064594A"/>
    <w:rsid w:val="0064652A"/>
    <w:rsid w:val="00646924"/>
    <w:rsid w:val="00647499"/>
    <w:rsid w:val="006479BA"/>
    <w:rsid w:val="00647E29"/>
    <w:rsid w:val="00652558"/>
    <w:rsid w:val="00652977"/>
    <w:rsid w:val="00652BBA"/>
    <w:rsid w:val="00652D22"/>
    <w:rsid w:val="0065330B"/>
    <w:rsid w:val="006538EF"/>
    <w:rsid w:val="0065519E"/>
    <w:rsid w:val="00655654"/>
    <w:rsid w:val="006558F4"/>
    <w:rsid w:val="00655B70"/>
    <w:rsid w:val="00655C1E"/>
    <w:rsid w:val="00662758"/>
    <w:rsid w:val="00663816"/>
    <w:rsid w:val="00664692"/>
    <w:rsid w:val="00664A52"/>
    <w:rsid w:val="0066545F"/>
    <w:rsid w:val="006660F3"/>
    <w:rsid w:val="00666CE4"/>
    <w:rsid w:val="006700B8"/>
    <w:rsid w:val="006710E9"/>
    <w:rsid w:val="00671DBC"/>
    <w:rsid w:val="0067234D"/>
    <w:rsid w:val="00673552"/>
    <w:rsid w:val="0067432C"/>
    <w:rsid w:val="006756B9"/>
    <w:rsid w:val="006774D8"/>
    <w:rsid w:val="006778A6"/>
    <w:rsid w:val="0068061F"/>
    <w:rsid w:val="0068137B"/>
    <w:rsid w:val="00682A65"/>
    <w:rsid w:val="00686535"/>
    <w:rsid w:val="00687AE6"/>
    <w:rsid w:val="00691CEB"/>
    <w:rsid w:val="00693C64"/>
    <w:rsid w:val="006942E8"/>
    <w:rsid w:val="00694F16"/>
    <w:rsid w:val="00695CC1"/>
    <w:rsid w:val="00696BCB"/>
    <w:rsid w:val="006A15EF"/>
    <w:rsid w:val="006A3C39"/>
    <w:rsid w:val="006A45E9"/>
    <w:rsid w:val="006A6AF3"/>
    <w:rsid w:val="006B045B"/>
    <w:rsid w:val="006B13BA"/>
    <w:rsid w:val="006B238F"/>
    <w:rsid w:val="006B746D"/>
    <w:rsid w:val="006C1712"/>
    <w:rsid w:val="006C1BDF"/>
    <w:rsid w:val="006C42A2"/>
    <w:rsid w:val="006C63FD"/>
    <w:rsid w:val="006C7926"/>
    <w:rsid w:val="006C7B3F"/>
    <w:rsid w:val="006D0087"/>
    <w:rsid w:val="006D2A42"/>
    <w:rsid w:val="006D2AA5"/>
    <w:rsid w:val="006D50E4"/>
    <w:rsid w:val="006D54AB"/>
    <w:rsid w:val="006D5AD4"/>
    <w:rsid w:val="006E11D7"/>
    <w:rsid w:val="006E267B"/>
    <w:rsid w:val="006E29B4"/>
    <w:rsid w:val="006E3043"/>
    <w:rsid w:val="006E378D"/>
    <w:rsid w:val="006E5212"/>
    <w:rsid w:val="006E540F"/>
    <w:rsid w:val="006F0B7F"/>
    <w:rsid w:val="006F12A8"/>
    <w:rsid w:val="006F1A63"/>
    <w:rsid w:val="006F3B3B"/>
    <w:rsid w:val="006F3F00"/>
    <w:rsid w:val="006F724B"/>
    <w:rsid w:val="006F73E2"/>
    <w:rsid w:val="006F76CB"/>
    <w:rsid w:val="007021AE"/>
    <w:rsid w:val="0070296A"/>
    <w:rsid w:val="00702AF5"/>
    <w:rsid w:val="00704783"/>
    <w:rsid w:val="00704805"/>
    <w:rsid w:val="0070516D"/>
    <w:rsid w:val="00705F22"/>
    <w:rsid w:val="00705F89"/>
    <w:rsid w:val="00706024"/>
    <w:rsid w:val="00706F6A"/>
    <w:rsid w:val="0070728B"/>
    <w:rsid w:val="007072A1"/>
    <w:rsid w:val="00710E10"/>
    <w:rsid w:val="00711658"/>
    <w:rsid w:val="007127FF"/>
    <w:rsid w:val="00712908"/>
    <w:rsid w:val="007153B8"/>
    <w:rsid w:val="00717765"/>
    <w:rsid w:val="007205EE"/>
    <w:rsid w:val="007207D7"/>
    <w:rsid w:val="00720D3A"/>
    <w:rsid w:val="00720F71"/>
    <w:rsid w:val="007211B2"/>
    <w:rsid w:val="00721CE0"/>
    <w:rsid w:val="00726270"/>
    <w:rsid w:val="00727FA7"/>
    <w:rsid w:val="0073060B"/>
    <w:rsid w:val="00730908"/>
    <w:rsid w:val="00732A60"/>
    <w:rsid w:val="00732B0F"/>
    <w:rsid w:val="007339CE"/>
    <w:rsid w:val="007344AE"/>
    <w:rsid w:val="007349C5"/>
    <w:rsid w:val="00734B01"/>
    <w:rsid w:val="00734B36"/>
    <w:rsid w:val="0073663B"/>
    <w:rsid w:val="007371BE"/>
    <w:rsid w:val="00737235"/>
    <w:rsid w:val="007412BB"/>
    <w:rsid w:val="007416D6"/>
    <w:rsid w:val="0074190A"/>
    <w:rsid w:val="00741C05"/>
    <w:rsid w:val="00742087"/>
    <w:rsid w:val="00742874"/>
    <w:rsid w:val="00744944"/>
    <w:rsid w:val="00745378"/>
    <w:rsid w:val="0074594A"/>
    <w:rsid w:val="00745DC2"/>
    <w:rsid w:val="00746090"/>
    <w:rsid w:val="007470F3"/>
    <w:rsid w:val="007478B3"/>
    <w:rsid w:val="00747F8E"/>
    <w:rsid w:val="00750223"/>
    <w:rsid w:val="00750535"/>
    <w:rsid w:val="00752A3C"/>
    <w:rsid w:val="00752C01"/>
    <w:rsid w:val="00753E01"/>
    <w:rsid w:val="0075460C"/>
    <w:rsid w:val="00754FC4"/>
    <w:rsid w:val="00761D09"/>
    <w:rsid w:val="007632DA"/>
    <w:rsid w:val="00763D5D"/>
    <w:rsid w:val="00764793"/>
    <w:rsid w:val="00765315"/>
    <w:rsid w:val="0076614F"/>
    <w:rsid w:val="00766FDC"/>
    <w:rsid w:val="007672D8"/>
    <w:rsid w:val="0077073F"/>
    <w:rsid w:val="00772873"/>
    <w:rsid w:val="00773A3B"/>
    <w:rsid w:val="00773F45"/>
    <w:rsid w:val="00773F8B"/>
    <w:rsid w:val="00775320"/>
    <w:rsid w:val="00776029"/>
    <w:rsid w:val="007760F8"/>
    <w:rsid w:val="00777A00"/>
    <w:rsid w:val="007818EE"/>
    <w:rsid w:val="007820EE"/>
    <w:rsid w:val="00782476"/>
    <w:rsid w:val="007826B3"/>
    <w:rsid w:val="00783CCD"/>
    <w:rsid w:val="007900D4"/>
    <w:rsid w:val="00790F2F"/>
    <w:rsid w:val="00791AE6"/>
    <w:rsid w:val="007920DD"/>
    <w:rsid w:val="007934E1"/>
    <w:rsid w:val="00794782"/>
    <w:rsid w:val="00794942"/>
    <w:rsid w:val="00795C29"/>
    <w:rsid w:val="00795FFF"/>
    <w:rsid w:val="0079659A"/>
    <w:rsid w:val="0079746C"/>
    <w:rsid w:val="007A0077"/>
    <w:rsid w:val="007A0212"/>
    <w:rsid w:val="007A0B2E"/>
    <w:rsid w:val="007A195A"/>
    <w:rsid w:val="007A31F6"/>
    <w:rsid w:val="007A3489"/>
    <w:rsid w:val="007A53D6"/>
    <w:rsid w:val="007A5623"/>
    <w:rsid w:val="007A5D17"/>
    <w:rsid w:val="007A648A"/>
    <w:rsid w:val="007A6D2F"/>
    <w:rsid w:val="007A714A"/>
    <w:rsid w:val="007A75D5"/>
    <w:rsid w:val="007B1035"/>
    <w:rsid w:val="007B1641"/>
    <w:rsid w:val="007B2303"/>
    <w:rsid w:val="007B3000"/>
    <w:rsid w:val="007B325C"/>
    <w:rsid w:val="007B3D65"/>
    <w:rsid w:val="007B4060"/>
    <w:rsid w:val="007B5FE3"/>
    <w:rsid w:val="007B6804"/>
    <w:rsid w:val="007B6A20"/>
    <w:rsid w:val="007B748E"/>
    <w:rsid w:val="007C0F4C"/>
    <w:rsid w:val="007C0F7A"/>
    <w:rsid w:val="007C15D5"/>
    <w:rsid w:val="007C1D17"/>
    <w:rsid w:val="007C4488"/>
    <w:rsid w:val="007C47A6"/>
    <w:rsid w:val="007C753E"/>
    <w:rsid w:val="007D1123"/>
    <w:rsid w:val="007D143A"/>
    <w:rsid w:val="007D1DEC"/>
    <w:rsid w:val="007D1DFB"/>
    <w:rsid w:val="007D29E3"/>
    <w:rsid w:val="007D2E87"/>
    <w:rsid w:val="007D368D"/>
    <w:rsid w:val="007D3C45"/>
    <w:rsid w:val="007D4137"/>
    <w:rsid w:val="007D4CA2"/>
    <w:rsid w:val="007D7CF6"/>
    <w:rsid w:val="007E11A5"/>
    <w:rsid w:val="007E15C7"/>
    <w:rsid w:val="007E231A"/>
    <w:rsid w:val="007E2CA6"/>
    <w:rsid w:val="007E3394"/>
    <w:rsid w:val="007E3407"/>
    <w:rsid w:val="007E3A75"/>
    <w:rsid w:val="007E3D22"/>
    <w:rsid w:val="007E4315"/>
    <w:rsid w:val="007E4329"/>
    <w:rsid w:val="007E7E12"/>
    <w:rsid w:val="007F03A8"/>
    <w:rsid w:val="007F05C4"/>
    <w:rsid w:val="007F0BBA"/>
    <w:rsid w:val="007F1042"/>
    <w:rsid w:val="007F2774"/>
    <w:rsid w:val="007F5AB6"/>
    <w:rsid w:val="007F67C1"/>
    <w:rsid w:val="007F6FE4"/>
    <w:rsid w:val="007F7900"/>
    <w:rsid w:val="00803241"/>
    <w:rsid w:val="00803869"/>
    <w:rsid w:val="00804A3F"/>
    <w:rsid w:val="0080529C"/>
    <w:rsid w:val="00805AD9"/>
    <w:rsid w:val="00811D3C"/>
    <w:rsid w:val="00811F0E"/>
    <w:rsid w:val="00812101"/>
    <w:rsid w:val="00812321"/>
    <w:rsid w:val="008129A7"/>
    <w:rsid w:val="00813844"/>
    <w:rsid w:val="0081451F"/>
    <w:rsid w:val="008152B3"/>
    <w:rsid w:val="0081555A"/>
    <w:rsid w:val="00815886"/>
    <w:rsid w:val="00817923"/>
    <w:rsid w:val="008210DD"/>
    <w:rsid w:val="00821F55"/>
    <w:rsid w:val="008236D7"/>
    <w:rsid w:val="00825345"/>
    <w:rsid w:val="00830186"/>
    <w:rsid w:val="00830541"/>
    <w:rsid w:val="00830D05"/>
    <w:rsid w:val="00831C59"/>
    <w:rsid w:val="0083225A"/>
    <w:rsid w:val="00832924"/>
    <w:rsid w:val="00835F84"/>
    <w:rsid w:val="00837597"/>
    <w:rsid w:val="0084002F"/>
    <w:rsid w:val="008405ED"/>
    <w:rsid w:val="00843272"/>
    <w:rsid w:val="0084369E"/>
    <w:rsid w:val="00843B64"/>
    <w:rsid w:val="0084461C"/>
    <w:rsid w:val="00844CF5"/>
    <w:rsid w:val="00844FDB"/>
    <w:rsid w:val="00850D34"/>
    <w:rsid w:val="0085130D"/>
    <w:rsid w:val="008521B4"/>
    <w:rsid w:val="00853398"/>
    <w:rsid w:val="00854A49"/>
    <w:rsid w:val="00855E8C"/>
    <w:rsid w:val="008571CC"/>
    <w:rsid w:val="008601B1"/>
    <w:rsid w:val="00860B7B"/>
    <w:rsid w:val="00861A00"/>
    <w:rsid w:val="00861A14"/>
    <w:rsid w:val="00861C27"/>
    <w:rsid w:val="0086247F"/>
    <w:rsid w:val="00862B44"/>
    <w:rsid w:val="00863137"/>
    <w:rsid w:val="0086530A"/>
    <w:rsid w:val="008676A4"/>
    <w:rsid w:val="008700C5"/>
    <w:rsid w:val="00871328"/>
    <w:rsid w:val="00872729"/>
    <w:rsid w:val="00872905"/>
    <w:rsid w:val="00872D85"/>
    <w:rsid w:val="0087307E"/>
    <w:rsid w:val="00874247"/>
    <w:rsid w:val="00874781"/>
    <w:rsid w:val="008751F1"/>
    <w:rsid w:val="0087731E"/>
    <w:rsid w:val="00877D0B"/>
    <w:rsid w:val="00881A21"/>
    <w:rsid w:val="00881CCB"/>
    <w:rsid w:val="00882245"/>
    <w:rsid w:val="00882711"/>
    <w:rsid w:val="00883EF3"/>
    <w:rsid w:val="00884E55"/>
    <w:rsid w:val="0088783B"/>
    <w:rsid w:val="008902C1"/>
    <w:rsid w:val="008906D1"/>
    <w:rsid w:val="008919BD"/>
    <w:rsid w:val="00891AF9"/>
    <w:rsid w:val="00893955"/>
    <w:rsid w:val="00893ECC"/>
    <w:rsid w:val="008956FD"/>
    <w:rsid w:val="00895A01"/>
    <w:rsid w:val="00896565"/>
    <w:rsid w:val="00896750"/>
    <w:rsid w:val="008A2C1D"/>
    <w:rsid w:val="008A45F1"/>
    <w:rsid w:val="008A563A"/>
    <w:rsid w:val="008A6384"/>
    <w:rsid w:val="008A65E3"/>
    <w:rsid w:val="008A6BBE"/>
    <w:rsid w:val="008A7335"/>
    <w:rsid w:val="008A758B"/>
    <w:rsid w:val="008B0B58"/>
    <w:rsid w:val="008B17DC"/>
    <w:rsid w:val="008B2856"/>
    <w:rsid w:val="008B5DEF"/>
    <w:rsid w:val="008B669A"/>
    <w:rsid w:val="008C330B"/>
    <w:rsid w:val="008C56CD"/>
    <w:rsid w:val="008C73BF"/>
    <w:rsid w:val="008D1501"/>
    <w:rsid w:val="008D4499"/>
    <w:rsid w:val="008D4E5B"/>
    <w:rsid w:val="008D6D5B"/>
    <w:rsid w:val="008E03DB"/>
    <w:rsid w:val="008E057A"/>
    <w:rsid w:val="008E2D7A"/>
    <w:rsid w:val="008E3E12"/>
    <w:rsid w:val="008E61D4"/>
    <w:rsid w:val="008E6284"/>
    <w:rsid w:val="008E639A"/>
    <w:rsid w:val="008E6C24"/>
    <w:rsid w:val="008E73DC"/>
    <w:rsid w:val="008F3BAF"/>
    <w:rsid w:val="008F6071"/>
    <w:rsid w:val="008F70BA"/>
    <w:rsid w:val="008F7800"/>
    <w:rsid w:val="00901101"/>
    <w:rsid w:val="0090133E"/>
    <w:rsid w:val="009030FF"/>
    <w:rsid w:val="0090362B"/>
    <w:rsid w:val="00903A91"/>
    <w:rsid w:val="009048B8"/>
    <w:rsid w:val="00907E7B"/>
    <w:rsid w:val="00910328"/>
    <w:rsid w:val="0091144B"/>
    <w:rsid w:val="009114C0"/>
    <w:rsid w:val="00911E68"/>
    <w:rsid w:val="00912CDC"/>
    <w:rsid w:val="0091339A"/>
    <w:rsid w:val="00913445"/>
    <w:rsid w:val="009201C4"/>
    <w:rsid w:val="00920CBB"/>
    <w:rsid w:val="00922A7E"/>
    <w:rsid w:val="00922E62"/>
    <w:rsid w:val="00923AC8"/>
    <w:rsid w:val="00925A54"/>
    <w:rsid w:val="00925CB9"/>
    <w:rsid w:val="00925D1D"/>
    <w:rsid w:val="009268E7"/>
    <w:rsid w:val="009278F5"/>
    <w:rsid w:val="00927E81"/>
    <w:rsid w:val="00931155"/>
    <w:rsid w:val="00931270"/>
    <w:rsid w:val="00931704"/>
    <w:rsid w:val="0093171C"/>
    <w:rsid w:val="009318F4"/>
    <w:rsid w:val="009325BB"/>
    <w:rsid w:val="0093266B"/>
    <w:rsid w:val="0093277E"/>
    <w:rsid w:val="0093746C"/>
    <w:rsid w:val="00941393"/>
    <w:rsid w:val="00941C50"/>
    <w:rsid w:val="009427D0"/>
    <w:rsid w:val="00942DB4"/>
    <w:rsid w:val="009437A0"/>
    <w:rsid w:val="009461AD"/>
    <w:rsid w:val="0094665D"/>
    <w:rsid w:val="00950AEB"/>
    <w:rsid w:val="009528F4"/>
    <w:rsid w:val="00952AD5"/>
    <w:rsid w:val="00954D43"/>
    <w:rsid w:val="009556DD"/>
    <w:rsid w:val="0096020B"/>
    <w:rsid w:val="009603D6"/>
    <w:rsid w:val="00961560"/>
    <w:rsid w:val="00962025"/>
    <w:rsid w:val="0096316A"/>
    <w:rsid w:val="0096363D"/>
    <w:rsid w:val="009636F1"/>
    <w:rsid w:val="009642CB"/>
    <w:rsid w:val="009655A0"/>
    <w:rsid w:val="00966695"/>
    <w:rsid w:val="00966ED9"/>
    <w:rsid w:val="00967270"/>
    <w:rsid w:val="009704E1"/>
    <w:rsid w:val="0097170E"/>
    <w:rsid w:val="009728D4"/>
    <w:rsid w:val="00973AF8"/>
    <w:rsid w:val="00974195"/>
    <w:rsid w:val="00974697"/>
    <w:rsid w:val="00974F18"/>
    <w:rsid w:val="00974FAC"/>
    <w:rsid w:val="00975387"/>
    <w:rsid w:val="00982B84"/>
    <w:rsid w:val="00982C80"/>
    <w:rsid w:val="00984475"/>
    <w:rsid w:val="0098696D"/>
    <w:rsid w:val="00987142"/>
    <w:rsid w:val="00991217"/>
    <w:rsid w:val="00992151"/>
    <w:rsid w:val="00993C56"/>
    <w:rsid w:val="009962F0"/>
    <w:rsid w:val="009976C7"/>
    <w:rsid w:val="00997B2A"/>
    <w:rsid w:val="009A02DF"/>
    <w:rsid w:val="009A05ED"/>
    <w:rsid w:val="009A08A1"/>
    <w:rsid w:val="009A1E0E"/>
    <w:rsid w:val="009A4682"/>
    <w:rsid w:val="009A6107"/>
    <w:rsid w:val="009A6ABE"/>
    <w:rsid w:val="009A6AD3"/>
    <w:rsid w:val="009B3654"/>
    <w:rsid w:val="009B3EAF"/>
    <w:rsid w:val="009B4548"/>
    <w:rsid w:val="009B4ABE"/>
    <w:rsid w:val="009B4CDC"/>
    <w:rsid w:val="009B63E3"/>
    <w:rsid w:val="009B76CC"/>
    <w:rsid w:val="009C1DE9"/>
    <w:rsid w:val="009C2784"/>
    <w:rsid w:val="009C3701"/>
    <w:rsid w:val="009C6FE0"/>
    <w:rsid w:val="009D0A9E"/>
    <w:rsid w:val="009D1D02"/>
    <w:rsid w:val="009D2F95"/>
    <w:rsid w:val="009D3B55"/>
    <w:rsid w:val="009D50F8"/>
    <w:rsid w:val="009D64D6"/>
    <w:rsid w:val="009D6735"/>
    <w:rsid w:val="009E0183"/>
    <w:rsid w:val="009E047E"/>
    <w:rsid w:val="009E1BAD"/>
    <w:rsid w:val="009E707F"/>
    <w:rsid w:val="009E7628"/>
    <w:rsid w:val="009F07C8"/>
    <w:rsid w:val="00A012DF"/>
    <w:rsid w:val="00A02C44"/>
    <w:rsid w:val="00A03261"/>
    <w:rsid w:val="00A043D9"/>
    <w:rsid w:val="00A05195"/>
    <w:rsid w:val="00A05E1A"/>
    <w:rsid w:val="00A06877"/>
    <w:rsid w:val="00A06ED6"/>
    <w:rsid w:val="00A13B61"/>
    <w:rsid w:val="00A15903"/>
    <w:rsid w:val="00A15BFE"/>
    <w:rsid w:val="00A15F0F"/>
    <w:rsid w:val="00A15FC6"/>
    <w:rsid w:val="00A17141"/>
    <w:rsid w:val="00A1718E"/>
    <w:rsid w:val="00A17BF7"/>
    <w:rsid w:val="00A17DBA"/>
    <w:rsid w:val="00A20D9F"/>
    <w:rsid w:val="00A22D55"/>
    <w:rsid w:val="00A23711"/>
    <w:rsid w:val="00A23ACB"/>
    <w:rsid w:val="00A249C8"/>
    <w:rsid w:val="00A25EE8"/>
    <w:rsid w:val="00A2691F"/>
    <w:rsid w:val="00A27658"/>
    <w:rsid w:val="00A30333"/>
    <w:rsid w:val="00A3048A"/>
    <w:rsid w:val="00A3144E"/>
    <w:rsid w:val="00A32570"/>
    <w:rsid w:val="00A32DDF"/>
    <w:rsid w:val="00A33962"/>
    <w:rsid w:val="00A34665"/>
    <w:rsid w:val="00A34972"/>
    <w:rsid w:val="00A34E84"/>
    <w:rsid w:val="00A359CD"/>
    <w:rsid w:val="00A36195"/>
    <w:rsid w:val="00A40388"/>
    <w:rsid w:val="00A42E91"/>
    <w:rsid w:val="00A43404"/>
    <w:rsid w:val="00A44511"/>
    <w:rsid w:val="00A454A7"/>
    <w:rsid w:val="00A46B8D"/>
    <w:rsid w:val="00A51C57"/>
    <w:rsid w:val="00A535D3"/>
    <w:rsid w:val="00A554C9"/>
    <w:rsid w:val="00A554D4"/>
    <w:rsid w:val="00A606B4"/>
    <w:rsid w:val="00A6117B"/>
    <w:rsid w:val="00A6190B"/>
    <w:rsid w:val="00A63AA4"/>
    <w:rsid w:val="00A64027"/>
    <w:rsid w:val="00A6473F"/>
    <w:rsid w:val="00A658FA"/>
    <w:rsid w:val="00A664CC"/>
    <w:rsid w:val="00A67975"/>
    <w:rsid w:val="00A70576"/>
    <w:rsid w:val="00A7093C"/>
    <w:rsid w:val="00A748EF"/>
    <w:rsid w:val="00A74EDC"/>
    <w:rsid w:val="00A751CD"/>
    <w:rsid w:val="00A75B6B"/>
    <w:rsid w:val="00A75DFA"/>
    <w:rsid w:val="00A770C2"/>
    <w:rsid w:val="00A81023"/>
    <w:rsid w:val="00A82FEE"/>
    <w:rsid w:val="00A86376"/>
    <w:rsid w:val="00A87E43"/>
    <w:rsid w:val="00A90C79"/>
    <w:rsid w:val="00A92B64"/>
    <w:rsid w:val="00A95B5C"/>
    <w:rsid w:val="00A969E8"/>
    <w:rsid w:val="00A97367"/>
    <w:rsid w:val="00AA011C"/>
    <w:rsid w:val="00AA0428"/>
    <w:rsid w:val="00AA06D9"/>
    <w:rsid w:val="00AA1AF4"/>
    <w:rsid w:val="00AA32DB"/>
    <w:rsid w:val="00AA5256"/>
    <w:rsid w:val="00AA59D6"/>
    <w:rsid w:val="00AA7F4B"/>
    <w:rsid w:val="00AB04D5"/>
    <w:rsid w:val="00AB3BCA"/>
    <w:rsid w:val="00AB5914"/>
    <w:rsid w:val="00AB7760"/>
    <w:rsid w:val="00AB7F33"/>
    <w:rsid w:val="00AC0DD0"/>
    <w:rsid w:val="00AC1A54"/>
    <w:rsid w:val="00AC24FE"/>
    <w:rsid w:val="00AC71B5"/>
    <w:rsid w:val="00AD0103"/>
    <w:rsid w:val="00AD0208"/>
    <w:rsid w:val="00AD0BA5"/>
    <w:rsid w:val="00AD1389"/>
    <w:rsid w:val="00AD36C2"/>
    <w:rsid w:val="00AD4D81"/>
    <w:rsid w:val="00AD50C4"/>
    <w:rsid w:val="00AD5337"/>
    <w:rsid w:val="00AD7016"/>
    <w:rsid w:val="00AE0F59"/>
    <w:rsid w:val="00AE256C"/>
    <w:rsid w:val="00AE4865"/>
    <w:rsid w:val="00AE493B"/>
    <w:rsid w:val="00AE4E2B"/>
    <w:rsid w:val="00AE706E"/>
    <w:rsid w:val="00AE721C"/>
    <w:rsid w:val="00AE7FF4"/>
    <w:rsid w:val="00AF0786"/>
    <w:rsid w:val="00AF1592"/>
    <w:rsid w:val="00AF21A3"/>
    <w:rsid w:val="00AF32C1"/>
    <w:rsid w:val="00AF6C42"/>
    <w:rsid w:val="00AF7532"/>
    <w:rsid w:val="00AF769A"/>
    <w:rsid w:val="00B00481"/>
    <w:rsid w:val="00B008A1"/>
    <w:rsid w:val="00B00BBD"/>
    <w:rsid w:val="00B02B14"/>
    <w:rsid w:val="00B02BDA"/>
    <w:rsid w:val="00B03ADA"/>
    <w:rsid w:val="00B05F52"/>
    <w:rsid w:val="00B06EA3"/>
    <w:rsid w:val="00B07059"/>
    <w:rsid w:val="00B1252F"/>
    <w:rsid w:val="00B14E74"/>
    <w:rsid w:val="00B15040"/>
    <w:rsid w:val="00B172D0"/>
    <w:rsid w:val="00B17C20"/>
    <w:rsid w:val="00B17D6D"/>
    <w:rsid w:val="00B17E2B"/>
    <w:rsid w:val="00B17E7E"/>
    <w:rsid w:val="00B2001D"/>
    <w:rsid w:val="00B22245"/>
    <w:rsid w:val="00B23178"/>
    <w:rsid w:val="00B241A2"/>
    <w:rsid w:val="00B241EA"/>
    <w:rsid w:val="00B257B7"/>
    <w:rsid w:val="00B27D30"/>
    <w:rsid w:val="00B30CCF"/>
    <w:rsid w:val="00B313AB"/>
    <w:rsid w:val="00B32836"/>
    <w:rsid w:val="00B328C2"/>
    <w:rsid w:val="00B3341F"/>
    <w:rsid w:val="00B339E3"/>
    <w:rsid w:val="00B3435F"/>
    <w:rsid w:val="00B348EE"/>
    <w:rsid w:val="00B3613C"/>
    <w:rsid w:val="00B431EC"/>
    <w:rsid w:val="00B43CEA"/>
    <w:rsid w:val="00B447AE"/>
    <w:rsid w:val="00B46B7F"/>
    <w:rsid w:val="00B46E08"/>
    <w:rsid w:val="00B46E96"/>
    <w:rsid w:val="00B47F5E"/>
    <w:rsid w:val="00B47F70"/>
    <w:rsid w:val="00B527A7"/>
    <w:rsid w:val="00B605CA"/>
    <w:rsid w:val="00B61C6B"/>
    <w:rsid w:val="00B622AA"/>
    <w:rsid w:val="00B625F1"/>
    <w:rsid w:val="00B6261E"/>
    <w:rsid w:val="00B62A2E"/>
    <w:rsid w:val="00B633BA"/>
    <w:rsid w:val="00B64DAF"/>
    <w:rsid w:val="00B66A42"/>
    <w:rsid w:val="00B66CB3"/>
    <w:rsid w:val="00B73960"/>
    <w:rsid w:val="00B749BB"/>
    <w:rsid w:val="00B7541B"/>
    <w:rsid w:val="00B7585C"/>
    <w:rsid w:val="00B76C14"/>
    <w:rsid w:val="00B77BBC"/>
    <w:rsid w:val="00B800B8"/>
    <w:rsid w:val="00B819F2"/>
    <w:rsid w:val="00B81B1F"/>
    <w:rsid w:val="00B82BFE"/>
    <w:rsid w:val="00B84026"/>
    <w:rsid w:val="00B84E2C"/>
    <w:rsid w:val="00B84E56"/>
    <w:rsid w:val="00B8537B"/>
    <w:rsid w:val="00B85631"/>
    <w:rsid w:val="00B90F31"/>
    <w:rsid w:val="00B91B9D"/>
    <w:rsid w:val="00B92903"/>
    <w:rsid w:val="00B929F9"/>
    <w:rsid w:val="00B92F38"/>
    <w:rsid w:val="00B94A46"/>
    <w:rsid w:val="00B9636C"/>
    <w:rsid w:val="00BA29A5"/>
    <w:rsid w:val="00BA37EB"/>
    <w:rsid w:val="00BA479A"/>
    <w:rsid w:val="00BA57FF"/>
    <w:rsid w:val="00BA79B5"/>
    <w:rsid w:val="00BB00A7"/>
    <w:rsid w:val="00BB11AC"/>
    <w:rsid w:val="00BB1F29"/>
    <w:rsid w:val="00BB3882"/>
    <w:rsid w:val="00BB42AF"/>
    <w:rsid w:val="00BB476B"/>
    <w:rsid w:val="00BB5D12"/>
    <w:rsid w:val="00BB6169"/>
    <w:rsid w:val="00BB6AAD"/>
    <w:rsid w:val="00BC0DE4"/>
    <w:rsid w:val="00BC19E5"/>
    <w:rsid w:val="00BC1BEE"/>
    <w:rsid w:val="00BC4E0E"/>
    <w:rsid w:val="00BC526D"/>
    <w:rsid w:val="00BC6465"/>
    <w:rsid w:val="00BC730D"/>
    <w:rsid w:val="00BD3630"/>
    <w:rsid w:val="00BD36A7"/>
    <w:rsid w:val="00BD481B"/>
    <w:rsid w:val="00BD4BFD"/>
    <w:rsid w:val="00BD4DB1"/>
    <w:rsid w:val="00BD51B2"/>
    <w:rsid w:val="00BD5814"/>
    <w:rsid w:val="00BE088C"/>
    <w:rsid w:val="00BE20C5"/>
    <w:rsid w:val="00BE28C1"/>
    <w:rsid w:val="00BE525B"/>
    <w:rsid w:val="00BE5EF5"/>
    <w:rsid w:val="00BE62D4"/>
    <w:rsid w:val="00BE6388"/>
    <w:rsid w:val="00BE6BCE"/>
    <w:rsid w:val="00BE71B9"/>
    <w:rsid w:val="00BF01F0"/>
    <w:rsid w:val="00BF1093"/>
    <w:rsid w:val="00BF226C"/>
    <w:rsid w:val="00BF5259"/>
    <w:rsid w:val="00BF5C7B"/>
    <w:rsid w:val="00BF6EE2"/>
    <w:rsid w:val="00C01602"/>
    <w:rsid w:val="00C0249B"/>
    <w:rsid w:val="00C0370A"/>
    <w:rsid w:val="00C03CD9"/>
    <w:rsid w:val="00C04770"/>
    <w:rsid w:val="00C051CC"/>
    <w:rsid w:val="00C05940"/>
    <w:rsid w:val="00C07435"/>
    <w:rsid w:val="00C07EB7"/>
    <w:rsid w:val="00C1041B"/>
    <w:rsid w:val="00C1186B"/>
    <w:rsid w:val="00C13271"/>
    <w:rsid w:val="00C172AC"/>
    <w:rsid w:val="00C176D1"/>
    <w:rsid w:val="00C20691"/>
    <w:rsid w:val="00C229AF"/>
    <w:rsid w:val="00C2315E"/>
    <w:rsid w:val="00C23D43"/>
    <w:rsid w:val="00C247C3"/>
    <w:rsid w:val="00C24900"/>
    <w:rsid w:val="00C25096"/>
    <w:rsid w:val="00C26389"/>
    <w:rsid w:val="00C26B86"/>
    <w:rsid w:val="00C30551"/>
    <w:rsid w:val="00C33681"/>
    <w:rsid w:val="00C3467C"/>
    <w:rsid w:val="00C3518E"/>
    <w:rsid w:val="00C35E4F"/>
    <w:rsid w:val="00C36D94"/>
    <w:rsid w:val="00C415CF"/>
    <w:rsid w:val="00C42A56"/>
    <w:rsid w:val="00C42EE0"/>
    <w:rsid w:val="00C435F7"/>
    <w:rsid w:val="00C4622F"/>
    <w:rsid w:val="00C475B4"/>
    <w:rsid w:val="00C47DFE"/>
    <w:rsid w:val="00C540E9"/>
    <w:rsid w:val="00C542B3"/>
    <w:rsid w:val="00C554A2"/>
    <w:rsid w:val="00C56705"/>
    <w:rsid w:val="00C576F2"/>
    <w:rsid w:val="00C606CA"/>
    <w:rsid w:val="00C608E7"/>
    <w:rsid w:val="00C61C78"/>
    <w:rsid w:val="00C62068"/>
    <w:rsid w:val="00C620E4"/>
    <w:rsid w:val="00C643EB"/>
    <w:rsid w:val="00C64B4B"/>
    <w:rsid w:val="00C65007"/>
    <w:rsid w:val="00C65467"/>
    <w:rsid w:val="00C655A1"/>
    <w:rsid w:val="00C6691F"/>
    <w:rsid w:val="00C66FF0"/>
    <w:rsid w:val="00C67A20"/>
    <w:rsid w:val="00C67E22"/>
    <w:rsid w:val="00C70451"/>
    <w:rsid w:val="00C70997"/>
    <w:rsid w:val="00C70E73"/>
    <w:rsid w:val="00C719CA"/>
    <w:rsid w:val="00C7381D"/>
    <w:rsid w:val="00C73C3E"/>
    <w:rsid w:val="00C73F6E"/>
    <w:rsid w:val="00C74457"/>
    <w:rsid w:val="00C74A73"/>
    <w:rsid w:val="00C74DCA"/>
    <w:rsid w:val="00C76DFD"/>
    <w:rsid w:val="00C80E4A"/>
    <w:rsid w:val="00C816A2"/>
    <w:rsid w:val="00C82380"/>
    <w:rsid w:val="00C83550"/>
    <w:rsid w:val="00C85205"/>
    <w:rsid w:val="00C8596C"/>
    <w:rsid w:val="00C85A74"/>
    <w:rsid w:val="00C87502"/>
    <w:rsid w:val="00C87EA7"/>
    <w:rsid w:val="00C91277"/>
    <w:rsid w:val="00C9145F"/>
    <w:rsid w:val="00C9159D"/>
    <w:rsid w:val="00C91AAF"/>
    <w:rsid w:val="00C95670"/>
    <w:rsid w:val="00C95814"/>
    <w:rsid w:val="00C95C35"/>
    <w:rsid w:val="00C96F18"/>
    <w:rsid w:val="00CA1AC2"/>
    <w:rsid w:val="00CA1F9C"/>
    <w:rsid w:val="00CA65BB"/>
    <w:rsid w:val="00CA7397"/>
    <w:rsid w:val="00CA75F6"/>
    <w:rsid w:val="00CB1554"/>
    <w:rsid w:val="00CB2177"/>
    <w:rsid w:val="00CB3788"/>
    <w:rsid w:val="00CB4593"/>
    <w:rsid w:val="00CB6007"/>
    <w:rsid w:val="00CB7EA5"/>
    <w:rsid w:val="00CC08BF"/>
    <w:rsid w:val="00CC08C6"/>
    <w:rsid w:val="00CC0AB3"/>
    <w:rsid w:val="00CC0E97"/>
    <w:rsid w:val="00CC12D0"/>
    <w:rsid w:val="00CC1718"/>
    <w:rsid w:val="00CC19E2"/>
    <w:rsid w:val="00CC30C1"/>
    <w:rsid w:val="00CC3217"/>
    <w:rsid w:val="00CC39C4"/>
    <w:rsid w:val="00CC3C20"/>
    <w:rsid w:val="00CC48B6"/>
    <w:rsid w:val="00CC662B"/>
    <w:rsid w:val="00CC70DC"/>
    <w:rsid w:val="00CD1578"/>
    <w:rsid w:val="00CD374F"/>
    <w:rsid w:val="00CD3B67"/>
    <w:rsid w:val="00CD4B50"/>
    <w:rsid w:val="00CD4EB5"/>
    <w:rsid w:val="00CD526E"/>
    <w:rsid w:val="00CD57E5"/>
    <w:rsid w:val="00CD661A"/>
    <w:rsid w:val="00CD7676"/>
    <w:rsid w:val="00CD77E7"/>
    <w:rsid w:val="00CD7859"/>
    <w:rsid w:val="00CE0743"/>
    <w:rsid w:val="00CE1CD1"/>
    <w:rsid w:val="00CE1FA6"/>
    <w:rsid w:val="00CE26D2"/>
    <w:rsid w:val="00CE356E"/>
    <w:rsid w:val="00CE38DF"/>
    <w:rsid w:val="00CE47B4"/>
    <w:rsid w:val="00CE54DB"/>
    <w:rsid w:val="00CE5FB2"/>
    <w:rsid w:val="00CE6EF6"/>
    <w:rsid w:val="00CF1C8D"/>
    <w:rsid w:val="00CF3FAD"/>
    <w:rsid w:val="00CF5268"/>
    <w:rsid w:val="00CF75A5"/>
    <w:rsid w:val="00D039DD"/>
    <w:rsid w:val="00D03A03"/>
    <w:rsid w:val="00D03CDB"/>
    <w:rsid w:val="00D0418F"/>
    <w:rsid w:val="00D05F32"/>
    <w:rsid w:val="00D07C57"/>
    <w:rsid w:val="00D108FE"/>
    <w:rsid w:val="00D12EDD"/>
    <w:rsid w:val="00D13122"/>
    <w:rsid w:val="00D13833"/>
    <w:rsid w:val="00D1485F"/>
    <w:rsid w:val="00D14B46"/>
    <w:rsid w:val="00D17038"/>
    <w:rsid w:val="00D17F71"/>
    <w:rsid w:val="00D232DC"/>
    <w:rsid w:val="00D236B1"/>
    <w:rsid w:val="00D23922"/>
    <w:rsid w:val="00D23D77"/>
    <w:rsid w:val="00D23FD3"/>
    <w:rsid w:val="00D2431C"/>
    <w:rsid w:val="00D2579F"/>
    <w:rsid w:val="00D266B6"/>
    <w:rsid w:val="00D26963"/>
    <w:rsid w:val="00D26C4A"/>
    <w:rsid w:val="00D3059D"/>
    <w:rsid w:val="00D3177D"/>
    <w:rsid w:val="00D344CF"/>
    <w:rsid w:val="00D348B0"/>
    <w:rsid w:val="00D37A2A"/>
    <w:rsid w:val="00D41967"/>
    <w:rsid w:val="00D41B06"/>
    <w:rsid w:val="00D445B9"/>
    <w:rsid w:val="00D45013"/>
    <w:rsid w:val="00D46F08"/>
    <w:rsid w:val="00D472B0"/>
    <w:rsid w:val="00D47AD0"/>
    <w:rsid w:val="00D500FD"/>
    <w:rsid w:val="00D50A97"/>
    <w:rsid w:val="00D527AF"/>
    <w:rsid w:val="00D53B6F"/>
    <w:rsid w:val="00D54409"/>
    <w:rsid w:val="00D5565E"/>
    <w:rsid w:val="00D56274"/>
    <w:rsid w:val="00D56ED4"/>
    <w:rsid w:val="00D61A1D"/>
    <w:rsid w:val="00D6234B"/>
    <w:rsid w:val="00D627C2"/>
    <w:rsid w:val="00D64B58"/>
    <w:rsid w:val="00D6553C"/>
    <w:rsid w:val="00D65F76"/>
    <w:rsid w:val="00D66527"/>
    <w:rsid w:val="00D6655F"/>
    <w:rsid w:val="00D67DE6"/>
    <w:rsid w:val="00D702A2"/>
    <w:rsid w:val="00D702B4"/>
    <w:rsid w:val="00D71901"/>
    <w:rsid w:val="00D71A89"/>
    <w:rsid w:val="00D72E1C"/>
    <w:rsid w:val="00D741D5"/>
    <w:rsid w:val="00D7423C"/>
    <w:rsid w:val="00D74EFE"/>
    <w:rsid w:val="00D7564A"/>
    <w:rsid w:val="00D768B7"/>
    <w:rsid w:val="00D77335"/>
    <w:rsid w:val="00D7769E"/>
    <w:rsid w:val="00D77886"/>
    <w:rsid w:val="00D77B72"/>
    <w:rsid w:val="00D8014B"/>
    <w:rsid w:val="00D80543"/>
    <w:rsid w:val="00D81245"/>
    <w:rsid w:val="00D81D27"/>
    <w:rsid w:val="00D82909"/>
    <w:rsid w:val="00D82AF6"/>
    <w:rsid w:val="00D8333A"/>
    <w:rsid w:val="00D833B3"/>
    <w:rsid w:val="00D83CC3"/>
    <w:rsid w:val="00D843EE"/>
    <w:rsid w:val="00D84854"/>
    <w:rsid w:val="00D8585B"/>
    <w:rsid w:val="00D86414"/>
    <w:rsid w:val="00D90A19"/>
    <w:rsid w:val="00D9340C"/>
    <w:rsid w:val="00D936E7"/>
    <w:rsid w:val="00D94A88"/>
    <w:rsid w:val="00D9558D"/>
    <w:rsid w:val="00DA29F5"/>
    <w:rsid w:val="00DA2FA3"/>
    <w:rsid w:val="00DA3323"/>
    <w:rsid w:val="00DA567F"/>
    <w:rsid w:val="00DA5F0A"/>
    <w:rsid w:val="00DA6770"/>
    <w:rsid w:val="00DA6F82"/>
    <w:rsid w:val="00DA7819"/>
    <w:rsid w:val="00DA7BF9"/>
    <w:rsid w:val="00DB112B"/>
    <w:rsid w:val="00DB1201"/>
    <w:rsid w:val="00DB236F"/>
    <w:rsid w:val="00DB3844"/>
    <w:rsid w:val="00DB55FC"/>
    <w:rsid w:val="00DB5C4D"/>
    <w:rsid w:val="00DB63D1"/>
    <w:rsid w:val="00DB7DBD"/>
    <w:rsid w:val="00DC1475"/>
    <w:rsid w:val="00DC2181"/>
    <w:rsid w:val="00DC2CC2"/>
    <w:rsid w:val="00DC7275"/>
    <w:rsid w:val="00DC7492"/>
    <w:rsid w:val="00DD0D57"/>
    <w:rsid w:val="00DD0EA3"/>
    <w:rsid w:val="00DD1F9E"/>
    <w:rsid w:val="00DD40C9"/>
    <w:rsid w:val="00DD41C3"/>
    <w:rsid w:val="00DD4446"/>
    <w:rsid w:val="00DD56C1"/>
    <w:rsid w:val="00DD71B2"/>
    <w:rsid w:val="00DD74E9"/>
    <w:rsid w:val="00DD7D2C"/>
    <w:rsid w:val="00DD7E42"/>
    <w:rsid w:val="00DE03AD"/>
    <w:rsid w:val="00DE05EF"/>
    <w:rsid w:val="00DE11CE"/>
    <w:rsid w:val="00DE1580"/>
    <w:rsid w:val="00DE1A09"/>
    <w:rsid w:val="00DE50DE"/>
    <w:rsid w:val="00DE5341"/>
    <w:rsid w:val="00DE646F"/>
    <w:rsid w:val="00DE6EC8"/>
    <w:rsid w:val="00DE78B4"/>
    <w:rsid w:val="00DE7D15"/>
    <w:rsid w:val="00DF06C1"/>
    <w:rsid w:val="00DF0D71"/>
    <w:rsid w:val="00DF2565"/>
    <w:rsid w:val="00DF25C3"/>
    <w:rsid w:val="00E00F6A"/>
    <w:rsid w:val="00E02190"/>
    <w:rsid w:val="00E056AA"/>
    <w:rsid w:val="00E07427"/>
    <w:rsid w:val="00E0759E"/>
    <w:rsid w:val="00E107C3"/>
    <w:rsid w:val="00E11BA4"/>
    <w:rsid w:val="00E125DC"/>
    <w:rsid w:val="00E133FD"/>
    <w:rsid w:val="00E13CEC"/>
    <w:rsid w:val="00E1465E"/>
    <w:rsid w:val="00E1488A"/>
    <w:rsid w:val="00E15853"/>
    <w:rsid w:val="00E15EA8"/>
    <w:rsid w:val="00E165D1"/>
    <w:rsid w:val="00E20A92"/>
    <w:rsid w:val="00E21345"/>
    <w:rsid w:val="00E2289C"/>
    <w:rsid w:val="00E23CBA"/>
    <w:rsid w:val="00E24F0C"/>
    <w:rsid w:val="00E25AE3"/>
    <w:rsid w:val="00E25F80"/>
    <w:rsid w:val="00E264FF"/>
    <w:rsid w:val="00E27B76"/>
    <w:rsid w:val="00E27E7B"/>
    <w:rsid w:val="00E30AB5"/>
    <w:rsid w:val="00E32733"/>
    <w:rsid w:val="00E330BE"/>
    <w:rsid w:val="00E36BBD"/>
    <w:rsid w:val="00E36BC3"/>
    <w:rsid w:val="00E37109"/>
    <w:rsid w:val="00E414E2"/>
    <w:rsid w:val="00E419CC"/>
    <w:rsid w:val="00E42833"/>
    <w:rsid w:val="00E447ED"/>
    <w:rsid w:val="00E463BF"/>
    <w:rsid w:val="00E47304"/>
    <w:rsid w:val="00E47F95"/>
    <w:rsid w:val="00E501D2"/>
    <w:rsid w:val="00E50289"/>
    <w:rsid w:val="00E52B28"/>
    <w:rsid w:val="00E53F62"/>
    <w:rsid w:val="00E54840"/>
    <w:rsid w:val="00E572D2"/>
    <w:rsid w:val="00E57B27"/>
    <w:rsid w:val="00E60F17"/>
    <w:rsid w:val="00E657A6"/>
    <w:rsid w:val="00E65917"/>
    <w:rsid w:val="00E65D64"/>
    <w:rsid w:val="00E66C2A"/>
    <w:rsid w:val="00E70C49"/>
    <w:rsid w:val="00E71345"/>
    <w:rsid w:val="00E71837"/>
    <w:rsid w:val="00E7491B"/>
    <w:rsid w:val="00E74E98"/>
    <w:rsid w:val="00E75C2E"/>
    <w:rsid w:val="00E761B7"/>
    <w:rsid w:val="00E76E04"/>
    <w:rsid w:val="00E77BCF"/>
    <w:rsid w:val="00E81083"/>
    <w:rsid w:val="00E81AB0"/>
    <w:rsid w:val="00E83A3C"/>
    <w:rsid w:val="00E84560"/>
    <w:rsid w:val="00E90DC4"/>
    <w:rsid w:val="00E920C3"/>
    <w:rsid w:val="00E92860"/>
    <w:rsid w:val="00E937A3"/>
    <w:rsid w:val="00E9390F"/>
    <w:rsid w:val="00E95929"/>
    <w:rsid w:val="00E96727"/>
    <w:rsid w:val="00E9776D"/>
    <w:rsid w:val="00E97FE5"/>
    <w:rsid w:val="00EA29F7"/>
    <w:rsid w:val="00EA2C7A"/>
    <w:rsid w:val="00EA315E"/>
    <w:rsid w:val="00EA3A4A"/>
    <w:rsid w:val="00EA4945"/>
    <w:rsid w:val="00EA56C5"/>
    <w:rsid w:val="00EA737D"/>
    <w:rsid w:val="00EB0882"/>
    <w:rsid w:val="00EB0962"/>
    <w:rsid w:val="00EB16BB"/>
    <w:rsid w:val="00EB2995"/>
    <w:rsid w:val="00EB4A3E"/>
    <w:rsid w:val="00EB5783"/>
    <w:rsid w:val="00EB5CFF"/>
    <w:rsid w:val="00EB63CD"/>
    <w:rsid w:val="00EB7FD0"/>
    <w:rsid w:val="00EC0C4F"/>
    <w:rsid w:val="00EC0FD7"/>
    <w:rsid w:val="00EC149F"/>
    <w:rsid w:val="00EC4740"/>
    <w:rsid w:val="00EC4C02"/>
    <w:rsid w:val="00EC784B"/>
    <w:rsid w:val="00EC7926"/>
    <w:rsid w:val="00ED32F6"/>
    <w:rsid w:val="00ED4028"/>
    <w:rsid w:val="00ED43CA"/>
    <w:rsid w:val="00ED5F0C"/>
    <w:rsid w:val="00ED70BC"/>
    <w:rsid w:val="00ED7D89"/>
    <w:rsid w:val="00EE0510"/>
    <w:rsid w:val="00EE220E"/>
    <w:rsid w:val="00EE27E2"/>
    <w:rsid w:val="00EE4149"/>
    <w:rsid w:val="00EE4A5A"/>
    <w:rsid w:val="00EE68F0"/>
    <w:rsid w:val="00EE70AD"/>
    <w:rsid w:val="00EF1D9F"/>
    <w:rsid w:val="00EF2DBD"/>
    <w:rsid w:val="00EF3050"/>
    <w:rsid w:val="00EF3170"/>
    <w:rsid w:val="00EF3615"/>
    <w:rsid w:val="00EF3BF4"/>
    <w:rsid w:val="00EF4F7B"/>
    <w:rsid w:val="00EF554E"/>
    <w:rsid w:val="00EF681B"/>
    <w:rsid w:val="00EF6F73"/>
    <w:rsid w:val="00EF73EE"/>
    <w:rsid w:val="00EF77D4"/>
    <w:rsid w:val="00F00044"/>
    <w:rsid w:val="00F00CC8"/>
    <w:rsid w:val="00F02ECD"/>
    <w:rsid w:val="00F037CD"/>
    <w:rsid w:val="00F03D2F"/>
    <w:rsid w:val="00F06985"/>
    <w:rsid w:val="00F06BBE"/>
    <w:rsid w:val="00F1051D"/>
    <w:rsid w:val="00F127E3"/>
    <w:rsid w:val="00F1388C"/>
    <w:rsid w:val="00F1546E"/>
    <w:rsid w:val="00F1646C"/>
    <w:rsid w:val="00F164A4"/>
    <w:rsid w:val="00F16E5F"/>
    <w:rsid w:val="00F20470"/>
    <w:rsid w:val="00F206D8"/>
    <w:rsid w:val="00F20F9A"/>
    <w:rsid w:val="00F2130F"/>
    <w:rsid w:val="00F22A31"/>
    <w:rsid w:val="00F22B02"/>
    <w:rsid w:val="00F22EFC"/>
    <w:rsid w:val="00F244B9"/>
    <w:rsid w:val="00F25444"/>
    <w:rsid w:val="00F25A50"/>
    <w:rsid w:val="00F25AFD"/>
    <w:rsid w:val="00F25D25"/>
    <w:rsid w:val="00F27EAB"/>
    <w:rsid w:val="00F31026"/>
    <w:rsid w:val="00F326C7"/>
    <w:rsid w:val="00F34BCA"/>
    <w:rsid w:val="00F356DF"/>
    <w:rsid w:val="00F367A6"/>
    <w:rsid w:val="00F36F67"/>
    <w:rsid w:val="00F373B6"/>
    <w:rsid w:val="00F37871"/>
    <w:rsid w:val="00F41E4A"/>
    <w:rsid w:val="00F421DD"/>
    <w:rsid w:val="00F42220"/>
    <w:rsid w:val="00F42C66"/>
    <w:rsid w:val="00F42D8E"/>
    <w:rsid w:val="00F47F09"/>
    <w:rsid w:val="00F504E6"/>
    <w:rsid w:val="00F51952"/>
    <w:rsid w:val="00F51B3B"/>
    <w:rsid w:val="00F52D68"/>
    <w:rsid w:val="00F54172"/>
    <w:rsid w:val="00F54C32"/>
    <w:rsid w:val="00F552B6"/>
    <w:rsid w:val="00F559D2"/>
    <w:rsid w:val="00F55BD1"/>
    <w:rsid w:val="00F57BE6"/>
    <w:rsid w:val="00F60975"/>
    <w:rsid w:val="00F612CB"/>
    <w:rsid w:val="00F614B7"/>
    <w:rsid w:val="00F61EEE"/>
    <w:rsid w:val="00F627A7"/>
    <w:rsid w:val="00F640B4"/>
    <w:rsid w:val="00F6434F"/>
    <w:rsid w:val="00F65F4D"/>
    <w:rsid w:val="00F6626C"/>
    <w:rsid w:val="00F745A4"/>
    <w:rsid w:val="00F75BCB"/>
    <w:rsid w:val="00F7663C"/>
    <w:rsid w:val="00F8014D"/>
    <w:rsid w:val="00F813E2"/>
    <w:rsid w:val="00F838E2"/>
    <w:rsid w:val="00F846BC"/>
    <w:rsid w:val="00F905CC"/>
    <w:rsid w:val="00F90D11"/>
    <w:rsid w:val="00F91E22"/>
    <w:rsid w:val="00F92916"/>
    <w:rsid w:val="00F93570"/>
    <w:rsid w:val="00F9435A"/>
    <w:rsid w:val="00F949D8"/>
    <w:rsid w:val="00F94CEC"/>
    <w:rsid w:val="00F967B9"/>
    <w:rsid w:val="00FA0328"/>
    <w:rsid w:val="00FA0909"/>
    <w:rsid w:val="00FA1436"/>
    <w:rsid w:val="00FA161B"/>
    <w:rsid w:val="00FA1CB7"/>
    <w:rsid w:val="00FA1E14"/>
    <w:rsid w:val="00FA2C5C"/>
    <w:rsid w:val="00FA30B4"/>
    <w:rsid w:val="00FA4B07"/>
    <w:rsid w:val="00FB0129"/>
    <w:rsid w:val="00FB082A"/>
    <w:rsid w:val="00FB0C89"/>
    <w:rsid w:val="00FB36CF"/>
    <w:rsid w:val="00FB3725"/>
    <w:rsid w:val="00FB3E88"/>
    <w:rsid w:val="00FB49CA"/>
    <w:rsid w:val="00FB584F"/>
    <w:rsid w:val="00FB6A4D"/>
    <w:rsid w:val="00FB788D"/>
    <w:rsid w:val="00FC0101"/>
    <w:rsid w:val="00FC064C"/>
    <w:rsid w:val="00FC0B26"/>
    <w:rsid w:val="00FC0E8B"/>
    <w:rsid w:val="00FC144F"/>
    <w:rsid w:val="00FC39D8"/>
    <w:rsid w:val="00FC4E3B"/>
    <w:rsid w:val="00FC63A8"/>
    <w:rsid w:val="00FC6E70"/>
    <w:rsid w:val="00FC7617"/>
    <w:rsid w:val="00FC7A63"/>
    <w:rsid w:val="00FC7D57"/>
    <w:rsid w:val="00FD0AE8"/>
    <w:rsid w:val="00FD0C9E"/>
    <w:rsid w:val="00FD0DC9"/>
    <w:rsid w:val="00FD0F3E"/>
    <w:rsid w:val="00FD2A7B"/>
    <w:rsid w:val="00FD52C6"/>
    <w:rsid w:val="00FD58E9"/>
    <w:rsid w:val="00FD647D"/>
    <w:rsid w:val="00FD6A30"/>
    <w:rsid w:val="00FD6EED"/>
    <w:rsid w:val="00FD7292"/>
    <w:rsid w:val="00FD7414"/>
    <w:rsid w:val="00FD7726"/>
    <w:rsid w:val="00FE0295"/>
    <w:rsid w:val="00FE0369"/>
    <w:rsid w:val="00FE1C1B"/>
    <w:rsid w:val="00FE25D0"/>
    <w:rsid w:val="00FE347E"/>
    <w:rsid w:val="00FE52B3"/>
    <w:rsid w:val="00FE76BA"/>
    <w:rsid w:val="00FF1D6C"/>
    <w:rsid w:val="00FF2F55"/>
    <w:rsid w:val="00FF5B95"/>
    <w:rsid w:val="00FF5F24"/>
    <w:rsid w:val="00FF62DF"/>
    <w:rsid w:val="01104747"/>
    <w:rsid w:val="01EC8750"/>
    <w:rsid w:val="0568FF57"/>
    <w:rsid w:val="05FDE48A"/>
    <w:rsid w:val="0630257E"/>
    <w:rsid w:val="0721C6AF"/>
    <w:rsid w:val="0CFC6D64"/>
    <w:rsid w:val="0D040C24"/>
    <w:rsid w:val="0E7C444C"/>
    <w:rsid w:val="0F97161A"/>
    <w:rsid w:val="10A0725C"/>
    <w:rsid w:val="10FAFEDB"/>
    <w:rsid w:val="11AC5B17"/>
    <w:rsid w:val="13188779"/>
    <w:rsid w:val="14225022"/>
    <w:rsid w:val="15652EB3"/>
    <w:rsid w:val="158E1EA0"/>
    <w:rsid w:val="15FD516C"/>
    <w:rsid w:val="17C39C73"/>
    <w:rsid w:val="183DA0D5"/>
    <w:rsid w:val="186BC8D2"/>
    <w:rsid w:val="18801BAD"/>
    <w:rsid w:val="1A131898"/>
    <w:rsid w:val="1A9F63F4"/>
    <w:rsid w:val="1AE2EB5A"/>
    <w:rsid w:val="1C2F5B63"/>
    <w:rsid w:val="1EDD49D5"/>
    <w:rsid w:val="202FFCB7"/>
    <w:rsid w:val="219240E0"/>
    <w:rsid w:val="22D19E25"/>
    <w:rsid w:val="23085CDD"/>
    <w:rsid w:val="24004E60"/>
    <w:rsid w:val="24352481"/>
    <w:rsid w:val="24EE2BCA"/>
    <w:rsid w:val="25FC5528"/>
    <w:rsid w:val="2627E784"/>
    <w:rsid w:val="26E0FC95"/>
    <w:rsid w:val="270F92FE"/>
    <w:rsid w:val="2783E0C9"/>
    <w:rsid w:val="278EFA6A"/>
    <w:rsid w:val="27EAF1F8"/>
    <w:rsid w:val="27F1A4C8"/>
    <w:rsid w:val="290F76BE"/>
    <w:rsid w:val="29CCD62F"/>
    <w:rsid w:val="2AF2D79D"/>
    <w:rsid w:val="2E0C971C"/>
    <w:rsid w:val="2F0E6EAA"/>
    <w:rsid w:val="2F415A4B"/>
    <w:rsid w:val="300537C3"/>
    <w:rsid w:val="325172E9"/>
    <w:rsid w:val="32ECD1DA"/>
    <w:rsid w:val="33087DA4"/>
    <w:rsid w:val="340D3820"/>
    <w:rsid w:val="347D6EDB"/>
    <w:rsid w:val="37BBE1A1"/>
    <w:rsid w:val="37C4F008"/>
    <w:rsid w:val="382EAE93"/>
    <w:rsid w:val="38FCF75A"/>
    <w:rsid w:val="3A8879E8"/>
    <w:rsid w:val="3A965C4A"/>
    <w:rsid w:val="3B4EEACA"/>
    <w:rsid w:val="3BD4797E"/>
    <w:rsid w:val="3BF03148"/>
    <w:rsid w:val="3C4E42FD"/>
    <w:rsid w:val="3F2D6517"/>
    <w:rsid w:val="3FD9E00B"/>
    <w:rsid w:val="3FEEAD8E"/>
    <w:rsid w:val="407AF46D"/>
    <w:rsid w:val="40B9B7E9"/>
    <w:rsid w:val="41BB8081"/>
    <w:rsid w:val="41D37102"/>
    <w:rsid w:val="42BADD87"/>
    <w:rsid w:val="438E67AD"/>
    <w:rsid w:val="49F3C211"/>
    <w:rsid w:val="4B2062CD"/>
    <w:rsid w:val="4B2526B1"/>
    <w:rsid w:val="4B5C7E1B"/>
    <w:rsid w:val="4B856E3E"/>
    <w:rsid w:val="4BE481CB"/>
    <w:rsid w:val="4E5EA64A"/>
    <w:rsid w:val="4E93E7BB"/>
    <w:rsid w:val="5180B51C"/>
    <w:rsid w:val="5327185B"/>
    <w:rsid w:val="55BF3E60"/>
    <w:rsid w:val="55FCB6F0"/>
    <w:rsid w:val="57969BCC"/>
    <w:rsid w:val="58768BDE"/>
    <w:rsid w:val="592ABE11"/>
    <w:rsid w:val="596C40D9"/>
    <w:rsid w:val="5A5AFC88"/>
    <w:rsid w:val="5AAF89A7"/>
    <w:rsid w:val="5B80B5EA"/>
    <w:rsid w:val="5C518322"/>
    <w:rsid w:val="5C66184C"/>
    <w:rsid w:val="5D9E6E55"/>
    <w:rsid w:val="5F2A4FDE"/>
    <w:rsid w:val="5F547F7A"/>
    <w:rsid w:val="61CADD03"/>
    <w:rsid w:val="63E9E21A"/>
    <w:rsid w:val="6401776E"/>
    <w:rsid w:val="6494EBB0"/>
    <w:rsid w:val="65A1CE80"/>
    <w:rsid w:val="672802D6"/>
    <w:rsid w:val="69414FF7"/>
    <w:rsid w:val="6985FBA7"/>
    <w:rsid w:val="69BFD5F6"/>
    <w:rsid w:val="6C5F2091"/>
    <w:rsid w:val="6C86BE5E"/>
    <w:rsid w:val="717A9AE3"/>
    <w:rsid w:val="737EE34B"/>
    <w:rsid w:val="7457C1EE"/>
    <w:rsid w:val="76FE2F3B"/>
    <w:rsid w:val="77D9C4C7"/>
    <w:rsid w:val="78C23404"/>
    <w:rsid w:val="78E6DFBB"/>
    <w:rsid w:val="7924D2A9"/>
    <w:rsid w:val="7A324F11"/>
    <w:rsid w:val="7CD4215E"/>
    <w:rsid w:val="7CD70992"/>
    <w:rsid w:val="7D12D818"/>
    <w:rsid w:val="7D79B19C"/>
    <w:rsid w:val="7F94B0A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71BC62"/>
  <w15:chartTrackingRefBased/>
  <w15:docId w15:val="{E89C0D6D-0B87-457D-8BA6-0310BC7DA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744C"/>
    <w:pPr>
      <w:spacing w:before="240" w:after="240" w:line="276" w:lineRule="auto"/>
      <w:ind w:left="1418"/>
    </w:pPr>
    <w:rPr>
      <w:sz w:val="22"/>
      <w:szCs w:val="22"/>
    </w:rPr>
  </w:style>
  <w:style w:type="paragraph" w:styleId="Heading1">
    <w:name w:val="heading 1"/>
    <w:basedOn w:val="Normal"/>
    <w:next w:val="Normal"/>
    <w:link w:val="Heading1Char"/>
    <w:uiPriority w:val="9"/>
    <w:qFormat/>
    <w:rsid w:val="003F0B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87142"/>
    <w:pPr>
      <w:keepNext/>
      <w:keepLines/>
      <w:spacing w:before="120" w:after="120"/>
      <w:outlineLvl w:val="1"/>
    </w:pPr>
    <w:rPr>
      <w:rFonts w:ascii="Helvetica" w:eastAsiaTheme="majorEastAsia" w:hAnsi="Helvetica" w:cs="Times New Roman (Headings CS)"/>
      <w:color w:val="0F4761" w:themeColor="accent1" w:themeShade="BF"/>
      <w:spacing w:val="20"/>
    </w:rPr>
  </w:style>
  <w:style w:type="paragraph" w:styleId="Heading3">
    <w:name w:val="heading 3"/>
    <w:basedOn w:val="Normal"/>
    <w:next w:val="Normal"/>
    <w:link w:val="Heading3Char"/>
    <w:uiPriority w:val="9"/>
    <w:unhideWhenUsed/>
    <w:qFormat/>
    <w:rsid w:val="007B1035"/>
    <w:pPr>
      <w:keepNext/>
      <w:keepLines/>
      <w:numPr>
        <w:numId w:val="6"/>
      </w:numPr>
      <w:spacing w:before="160" w:after="80"/>
      <w:outlineLvl w:val="2"/>
    </w:pPr>
    <w:rPr>
      <w:rFonts w:eastAsiaTheme="majorEastAsia" w:cstheme="majorBidi"/>
      <w:b/>
      <w:bCs/>
      <w:color w:val="0F4761" w:themeColor="accent1" w:themeShade="BF"/>
    </w:rPr>
  </w:style>
  <w:style w:type="paragraph" w:styleId="Heading4">
    <w:name w:val="heading 4"/>
    <w:basedOn w:val="Normal"/>
    <w:next w:val="Normal"/>
    <w:link w:val="Heading4Char"/>
    <w:uiPriority w:val="9"/>
    <w:semiHidden/>
    <w:unhideWhenUsed/>
    <w:qFormat/>
    <w:rsid w:val="003F0B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0B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0BD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0BD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0BD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0BD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qFormat/>
    <w:rsid w:val="004C2D1D"/>
    <w:rPr>
      <w:color w:val="156082" w:themeColor="accent1"/>
      <w:u w:val="single"/>
    </w:rPr>
  </w:style>
  <w:style w:type="character" w:customStyle="1" w:styleId="Heading1Char">
    <w:name w:val="Heading 1 Char"/>
    <w:basedOn w:val="DefaultParagraphFont"/>
    <w:link w:val="Heading1"/>
    <w:uiPriority w:val="9"/>
    <w:rsid w:val="003F0B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87142"/>
    <w:rPr>
      <w:rFonts w:ascii="Helvetica" w:eastAsiaTheme="majorEastAsia" w:hAnsi="Helvetica" w:cs="Times New Roman (Headings CS)"/>
      <w:color w:val="0F4761" w:themeColor="accent1" w:themeShade="BF"/>
      <w:spacing w:val="20"/>
      <w:sz w:val="22"/>
      <w:szCs w:val="22"/>
    </w:rPr>
  </w:style>
  <w:style w:type="character" w:customStyle="1" w:styleId="Heading3Char">
    <w:name w:val="Heading 3 Char"/>
    <w:basedOn w:val="DefaultParagraphFont"/>
    <w:link w:val="Heading3"/>
    <w:uiPriority w:val="9"/>
    <w:rsid w:val="007B1035"/>
    <w:rPr>
      <w:rFonts w:eastAsiaTheme="majorEastAsia" w:cstheme="majorBidi"/>
      <w:b/>
      <w:bCs/>
      <w:color w:val="0F4761" w:themeColor="accent1" w:themeShade="BF"/>
      <w:sz w:val="22"/>
      <w:szCs w:val="22"/>
    </w:rPr>
  </w:style>
  <w:style w:type="character" w:customStyle="1" w:styleId="Heading4Char">
    <w:name w:val="Heading 4 Char"/>
    <w:basedOn w:val="DefaultParagraphFont"/>
    <w:link w:val="Heading4"/>
    <w:uiPriority w:val="9"/>
    <w:semiHidden/>
    <w:rsid w:val="003F0B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0B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0B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0B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0B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0BDA"/>
    <w:rPr>
      <w:rFonts w:eastAsiaTheme="majorEastAsia" w:cstheme="majorBidi"/>
      <w:color w:val="272727" w:themeColor="text1" w:themeTint="D8"/>
    </w:rPr>
  </w:style>
  <w:style w:type="paragraph" w:styleId="Title">
    <w:name w:val="Title"/>
    <w:basedOn w:val="Normal"/>
    <w:next w:val="Normal"/>
    <w:link w:val="TitleChar"/>
    <w:uiPriority w:val="10"/>
    <w:qFormat/>
    <w:rsid w:val="003F0BD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0B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0BDA"/>
    <w:pPr>
      <w:numPr>
        <w:ilvl w:val="1"/>
      </w:numPr>
      <w:spacing w:after="160"/>
      <w:ind w:left="1701"/>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0B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0BD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F0BDA"/>
    <w:rPr>
      <w:i/>
      <w:iCs/>
      <w:color w:val="404040" w:themeColor="text1" w:themeTint="BF"/>
    </w:rPr>
  </w:style>
  <w:style w:type="paragraph" w:styleId="ListParagraph">
    <w:name w:val="List Paragraph"/>
    <w:basedOn w:val="Normal"/>
    <w:uiPriority w:val="34"/>
    <w:qFormat/>
    <w:rsid w:val="00196E55"/>
    <w:pPr>
      <w:ind w:left="720"/>
    </w:pPr>
  </w:style>
  <w:style w:type="character" w:styleId="IntenseEmphasis">
    <w:name w:val="Intense Emphasis"/>
    <w:basedOn w:val="DefaultParagraphFont"/>
    <w:uiPriority w:val="21"/>
    <w:qFormat/>
    <w:rsid w:val="003F0BDA"/>
    <w:rPr>
      <w:i/>
      <w:iCs/>
      <w:color w:val="0F4761" w:themeColor="accent1" w:themeShade="BF"/>
    </w:rPr>
  </w:style>
  <w:style w:type="paragraph" w:styleId="IntenseQuote">
    <w:name w:val="Intense Quote"/>
    <w:basedOn w:val="Normal"/>
    <w:next w:val="Normal"/>
    <w:link w:val="IntenseQuoteChar"/>
    <w:uiPriority w:val="30"/>
    <w:qFormat/>
    <w:rsid w:val="003F0B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0BDA"/>
    <w:rPr>
      <w:i/>
      <w:iCs/>
      <w:color w:val="0F4761" w:themeColor="accent1" w:themeShade="BF"/>
    </w:rPr>
  </w:style>
  <w:style w:type="character" w:styleId="IntenseReference">
    <w:name w:val="Intense Reference"/>
    <w:basedOn w:val="DefaultParagraphFont"/>
    <w:uiPriority w:val="32"/>
    <w:qFormat/>
    <w:rsid w:val="003F0BDA"/>
    <w:rPr>
      <w:b/>
      <w:bCs/>
      <w:smallCaps/>
      <w:color w:val="0F4761" w:themeColor="accent1" w:themeShade="BF"/>
      <w:spacing w:val="5"/>
    </w:rPr>
  </w:style>
  <w:style w:type="paragraph" w:styleId="EndnoteText">
    <w:name w:val="endnote text"/>
    <w:basedOn w:val="Normal"/>
    <w:link w:val="EndnoteTextChar"/>
    <w:uiPriority w:val="99"/>
    <w:unhideWhenUsed/>
    <w:rsid w:val="00083ACB"/>
    <w:rPr>
      <w:sz w:val="20"/>
      <w:szCs w:val="20"/>
    </w:rPr>
  </w:style>
  <w:style w:type="character" w:customStyle="1" w:styleId="EndnoteTextChar">
    <w:name w:val="Endnote Text Char"/>
    <w:basedOn w:val="DefaultParagraphFont"/>
    <w:link w:val="EndnoteText"/>
    <w:uiPriority w:val="99"/>
    <w:rsid w:val="00083ACB"/>
    <w:rPr>
      <w:sz w:val="20"/>
      <w:szCs w:val="20"/>
    </w:rPr>
  </w:style>
  <w:style w:type="character" w:styleId="EndnoteReference">
    <w:name w:val="endnote reference"/>
    <w:basedOn w:val="DefaultParagraphFont"/>
    <w:uiPriority w:val="99"/>
    <w:semiHidden/>
    <w:unhideWhenUsed/>
    <w:rsid w:val="00083ACB"/>
    <w:rPr>
      <w:vertAlign w:val="superscript"/>
    </w:rPr>
  </w:style>
  <w:style w:type="paragraph" w:styleId="FootnoteText">
    <w:name w:val="footnote text"/>
    <w:basedOn w:val="Normal"/>
    <w:link w:val="FootnoteTextChar"/>
    <w:uiPriority w:val="99"/>
    <w:unhideWhenUsed/>
    <w:rsid w:val="004A1DC5"/>
    <w:pPr>
      <w:spacing w:after="0"/>
    </w:pPr>
    <w:rPr>
      <w:sz w:val="20"/>
      <w:szCs w:val="20"/>
    </w:rPr>
  </w:style>
  <w:style w:type="character" w:customStyle="1" w:styleId="FootnoteTextChar">
    <w:name w:val="Footnote Text Char"/>
    <w:basedOn w:val="DefaultParagraphFont"/>
    <w:link w:val="FootnoteText"/>
    <w:uiPriority w:val="99"/>
    <w:rsid w:val="004A1DC5"/>
    <w:rPr>
      <w:sz w:val="20"/>
      <w:szCs w:val="20"/>
    </w:rPr>
  </w:style>
  <w:style w:type="character" w:styleId="FootnoteReference">
    <w:name w:val="footnote reference"/>
    <w:basedOn w:val="DefaultParagraphFont"/>
    <w:uiPriority w:val="99"/>
    <w:semiHidden/>
    <w:unhideWhenUsed/>
    <w:rsid w:val="00655C1E"/>
    <w:rPr>
      <w:vertAlign w:val="superscript"/>
    </w:rPr>
  </w:style>
  <w:style w:type="paragraph" w:styleId="NoSpacing">
    <w:name w:val="No Spacing"/>
    <w:uiPriority w:val="1"/>
    <w:qFormat/>
    <w:rsid w:val="007B748E"/>
    <w:pPr>
      <w:ind w:left="1418"/>
    </w:pPr>
    <w:rPr>
      <w:sz w:val="22"/>
      <w:szCs w:val="22"/>
    </w:rPr>
  </w:style>
  <w:style w:type="paragraph" w:styleId="NormalWeb">
    <w:name w:val="Normal (Web)"/>
    <w:basedOn w:val="Normal"/>
    <w:uiPriority w:val="99"/>
    <w:semiHidden/>
    <w:unhideWhenUsed/>
    <w:rsid w:val="00534073"/>
    <w:rPr>
      <w:rFonts w:ascii="Times New Roman" w:hAnsi="Times New Roman" w:cs="Times New Roman"/>
      <w:sz w:val="24"/>
      <w:szCs w:val="24"/>
    </w:rPr>
  </w:style>
  <w:style w:type="character" w:styleId="Strong">
    <w:name w:val="Strong"/>
    <w:basedOn w:val="DefaultParagraphFont"/>
    <w:uiPriority w:val="22"/>
    <w:qFormat/>
    <w:rsid w:val="00FC0B26"/>
    <w:rPr>
      <w:b/>
      <w:bCs/>
    </w:rPr>
  </w:style>
  <w:style w:type="character" w:styleId="Hyperlink">
    <w:name w:val="Hyperlink"/>
    <w:basedOn w:val="DefaultParagraphFont"/>
    <w:uiPriority w:val="99"/>
    <w:unhideWhenUsed/>
    <w:rsid w:val="00110BA5"/>
    <w:rPr>
      <w:color w:val="467886" w:themeColor="hyperlink"/>
      <w:u w:val="single"/>
    </w:rPr>
  </w:style>
  <w:style w:type="character" w:styleId="UnresolvedMention">
    <w:name w:val="Unresolved Mention"/>
    <w:basedOn w:val="DefaultParagraphFont"/>
    <w:uiPriority w:val="99"/>
    <w:semiHidden/>
    <w:unhideWhenUsed/>
    <w:rsid w:val="00110BA5"/>
    <w:rPr>
      <w:color w:val="605E5C"/>
      <w:shd w:val="clear" w:color="auto" w:fill="E1DFDD"/>
    </w:rPr>
  </w:style>
  <w:style w:type="paragraph" w:styleId="Footer">
    <w:name w:val="footer"/>
    <w:basedOn w:val="Normal"/>
    <w:link w:val="FooterChar"/>
    <w:uiPriority w:val="99"/>
    <w:unhideWhenUsed/>
    <w:rsid w:val="007D4137"/>
    <w:pPr>
      <w:tabs>
        <w:tab w:val="center" w:pos="4513"/>
        <w:tab w:val="right" w:pos="9026"/>
      </w:tabs>
      <w:spacing w:after="0"/>
    </w:pPr>
  </w:style>
  <w:style w:type="character" w:customStyle="1" w:styleId="FooterChar">
    <w:name w:val="Footer Char"/>
    <w:basedOn w:val="DefaultParagraphFont"/>
    <w:link w:val="Footer"/>
    <w:uiPriority w:val="99"/>
    <w:rsid w:val="007D4137"/>
    <w:rPr>
      <w:sz w:val="22"/>
      <w:szCs w:val="22"/>
    </w:rPr>
  </w:style>
  <w:style w:type="character" w:styleId="PageNumber">
    <w:name w:val="page number"/>
    <w:basedOn w:val="DefaultParagraphFont"/>
    <w:uiPriority w:val="99"/>
    <w:semiHidden/>
    <w:unhideWhenUsed/>
    <w:rsid w:val="007D4137"/>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FF2F55"/>
    <w:rPr>
      <w:sz w:val="22"/>
      <w:szCs w:val="22"/>
    </w:rPr>
  </w:style>
  <w:style w:type="paragraph" w:styleId="CommentSubject">
    <w:name w:val="annotation subject"/>
    <w:basedOn w:val="CommentText"/>
    <w:next w:val="CommentText"/>
    <w:link w:val="CommentSubjectChar"/>
    <w:uiPriority w:val="99"/>
    <w:semiHidden/>
    <w:unhideWhenUsed/>
    <w:rsid w:val="00FF2F55"/>
    <w:rPr>
      <w:b/>
      <w:bCs/>
    </w:rPr>
  </w:style>
  <w:style w:type="character" w:customStyle="1" w:styleId="CommentSubjectChar">
    <w:name w:val="Comment Subject Char"/>
    <w:basedOn w:val="CommentTextChar"/>
    <w:link w:val="CommentSubject"/>
    <w:uiPriority w:val="99"/>
    <w:semiHidden/>
    <w:rsid w:val="00FF2F55"/>
    <w:rPr>
      <w:b/>
      <w:bCs/>
      <w:sz w:val="20"/>
      <w:szCs w:val="20"/>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pPr>
  </w:style>
  <w:style w:type="paragraph" w:styleId="BalloonText">
    <w:name w:val="Balloon Text"/>
    <w:basedOn w:val="Normal"/>
    <w:link w:val="BalloonTextChar"/>
    <w:uiPriority w:val="99"/>
    <w:semiHidden/>
    <w:unhideWhenUsed/>
    <w:rsid w:val="0057753E"/>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753E"/>
    <w:rPr>
      <w:rFonts w:ascii="Segoe UI" w:hAnsi="Segoe UI" w:cs="Segoe UI"/>
      <w:sz w:val="18"/>
      <w:szCs w:val="18"/>
    </w:rPr>
  </w:style>
  <w:style w:type="paragraph" w:styleId="Bibliography">
    <w:name w:val="Bibliography"/>
    <w:basedOn w:val="Normal"/>
    <w:next w:val="Normal"/>
    <w:uiPriority w:val="37"/>
    <w:semiHidden/>
    <w:unhideWhenUsed/>
    <w:rsid w:val="0057753E"/>
  </w:style>
  <w:style w:type="paragraph" w:styleId="BlockText">
    <w:name w:val="Block Text"/>
    <w:basedOn w:val="Normal"/>
    <w:uiPriority w:val="99"/>
    <w:semiHidden/>
    <w:unhideWhenUsed/>
    <w:rsid w:val="0057753E"/>
    <w:pPr>
      <w:pBdr>
        <w:top w:val="single" w:sz="2" w:space="10" w:color="156082" w:themeColor="accent1"/>
        <w:left w:val="single" w:sz="2" w:space="10" w:color="156082" w:themeColor="accent1"/>
        <w:bottom w:val="single" w:sz="2" w:space="10" w:color="156082" w:themeColor="accent1"/>
        <w:right w:val="single" w:sz="2" w:space="10" w:color="156082" w:themeColor="accent1"/>
      </w:pBdr>
      <w:ind w:left="1152" w:right="1152"/>
    </w:pPr>
    <w:rPr>
      <w:rFonts w:eastAsiaTheme="minorEastAsia"/>
      <w:i/>
      <w:iCs/>
      <w:color w:val="156082" w:themeColor="accent1"/>
    </w:rPr>
  </w:style>
  <w:style w:type="paragraph" w:styleId="BodyText">
    <w:name w:val="Body Text"/>
    <w:basedOn w:val="Normal"/>
    <w:link w:val="BodyTextChar"/>
    <w:uiPriority w:val="99"/>
    <w:semiHidden/>
    <w:unhideWhenUsed/>
    <w:rsid w:val="0057753E"/>
    <w:pPr>
      <w:spacing w:after="120"/>
    </w:pPr>
  </w:style>
  <w:style w:type="character" w:customStyle="1" w:styleId="BodyTextChar">
    <w:name w:val="Body Text Char"/>
    <w:basedOn w:val="DefaultParagraphFont"/>
    <w:link w:val="BodyText"/>
    <w:uiPriority w:val="99"/>
    <w:semiHidden/>
    <w:rsid w:val="0057753E"/>
    <w:rPr>
      <w:sz w:val="22"/>
      <w:szCs w:val="22"/>
    </w:rPr>
  </w:style>
  <w:style w:type="paragraph" w:styleId="BodyText2">
    <w:name w:val="Body Text 2"/>
    <w:basedOn w:val="Normal"/>
    <w:link w:val="BodyText2Char"/>
    <w:uiPriority w:val="99"/>
    <w:semiHidden/>
    <w:unhideWhenUsed/>
    <w:rsid w:val="0057753E"/>
    <w:pPr>
      <w:spacing w:after="120" w:line="480" w:lineRule="auto"/>
    </w:pPr>
  </w:style>
  <w:style w:type="character" w:customStyle="1" w:styleId="BodyText2Char">
    <w:name w:val="Body Text 2 Char"/>
    <w:basedOn w:val="DefaultParagraphFont"/>
    <w:link w:val="BodyText2"/>
    <w:uiPriority w:val="99"/>
    <w:semiHidden/>
    <w:rsid w:val="0057753E"/>
    <w:rPr>
      <w:sz w:val="22"/>
      <w:szCs w:val="22"/>
    </w:rPr>
  </w:style>
  <w:style w:type="paragraph" w:styleId="BodyText3">
    <w:name w:val="Body Text 3"/>
    <w:basedOn w:val="Normal"/>
    <w:link w:val="BodyText3Char"/>
    <w:uiPriority w:val="99"/>
    <w:semiHidden/>
    <w:unhideWhenUsed/>
    <w:rsid w:val="0057753E"/>
    <w:pPr>
      <w:spacing w:after="120"/>
    </w:pPr>
    <w:rPr>
      <w:sz w:val="16"/>
      <w:szCs w:val="16"/>
    </w:rPr>
  </w:style>
  <w:style w:type="character" w:customStyle="1" w:styleId="BodyText3Char">
    <w:name w:val="Body Text 3 Char"/>
    <w:basedOn w:val="DefaultParagraphFont"/>
    <w:link w:val="BodyText3"/>
    <w:uiPriority w:val="99"/>
    <w:semiHidden/>
    <w:rsid w:val="0057753E"/>
    <w:rPr>
      <w:sz w:val="16"/>
      <w:szCs w:val="16"/>
    </w:rPr>
  </w:style>
  <w:style w:type="paragraph" w:styleId="BodyTextFirstIndent">
    <w:name w:val="Body Text First Indent"/>
    <w:basedOn w:val="BodyText"/>
    <w:link w:val="BodyTextFirstIndentChar"/>
    <w:uiPriority w:val="99"/>
    <w:semiHidden/>
    <w:unhideWhenUsed/>
    <w:rsid w:val="0057753E"/>
    <w:pPr>
      <w:spacing w:after="240"/>
      <w:ind w:firstLine="360"/>
    </w:pPr>
  </w:style>
  <w:style w:type="character" w:customStyle="1" w:styleId="BodyTextFirstIndentChar">
    <w:name w:val="Body Text First Indent Char"/>
    <w:basedOn w:val="BodyTextChar"/>
    <w:link w:val="BodyTextFirstIndent"/>
    <w:uiPriority w:val="99"/>
    <w:semiHidden/>
    <w:rsid w:val="0057753E"/>
    <w:rPr>
      <w:sz w:val="22"/>
      <w:szCs w:val="22"/>
    </w:rPr>
  </w:style>
  <w:style w:type="paragraph" w:styleId="BodyTextIndent">
    <w:name w:val="Body Text Indent"/>
    <w:basedOn w:val="Normal"/>
    <w:link w:val="BodyTextIndentChar"/>
    <w:uiPriority w:val="99"/>
    <w:semiHidden/>
    <w:unhideWhenUsed/>
    <w:rsid w:val="0057753E"/>
    <w:pPr>
      <w:spacing w:after="120"/>
      <w:ind w:left="283"/>
    </w:pPr>
  </w:style>
  <w:style w:type="character" w:customStyle="1" w:styleId="BodyTextIndentChar">
    <w:name w:val="Body Text Indent Char"/>
    <w:basedOn w:val="DefaultParagraphFont"/>
    <w:link w:val="BodyTextIndent"/>
    <w:uiPriority w:val="99"/>
    <w:semiHidden/>
    <w:rsid w:val="0057753E"/>
    <w:rPr>
      <w:sz w:val="22"/>
      <w:szCs w:val="22"/>
    </w:rPr>
  </w:style>
  <w:style w:type="paragraph" w:styleId="BodyTextFirstIndent2">
    <w:name w:val="Body Text First Indent 2"/>
    <w:basedOn w:val="BodyTextIndent"/>
    <w:link w:val="BodyTextFirstIndent2Char"/>
    <w:uiPriority w:val="99"/>
    <w:semiHidden/>
    <w:unhideWhenUsed/>
    <w:rsid w:val="0057753E"/>
    <w:pPr>
      <w:spacing w:after="240"/>
      <w:ind w:left="360" w:firstLine="360"/>
    </w:pPr>
  </w:style>
  <w:style w:type="character" w:customStyle="1" w:styleId="BodyTextFirstIndent2Char">
    <w:name w:val="Body Text First Indent 2 Char"/>
    <w:basedOn w:val="BodyTextIndentChar"/>
    <w:link w:val="BodyTextFirstIndent2"/>
    <w:uiPriority w:val="99"/>
    <w:semiHidden/>
    <w:rsid w:val="0057753E"/>
    <w:rPr>
      <w:sz w:val="22"/>
      <w:szCs w:val="22"/>
    </w:rPr>
  </w:style>
  <w:style w:type="paragraph" w:styleId="BodyTextIndent2">
    <w:name w:val="Body Text Indent 2"/>
    <w:basedOn w:val="Normal"/>
    <w:link w:val="BodyTextIndent2Char"/>
    <w:uiPriority w:val="99"/>
    <w:semiHidden/>
    <w:unhideWhenUsed/>
    <w:rsid w:val="0057753E"/>
    <w:pPr>
      <w:spacing w:after="120" w:line="480" w:lineRule="auto"/>
      <w:ind w:left="283"/>
    </w:pPr>
  </w:style>
  <w:style w:type="character" w:customStyle="1" w:styleId="BodyTextIndent2Char">
    <w:name w:val="Body Text Indent 2 Char"/>
    <w:basedOn w:val="DefaultParagraphFont"/>
    <w:link w:val="BodyTextIndent2"/>
    <w:uiPriority w:val="99"/>
    <w:semiHidden/>
    <w:rsid w:val="0057753E"/>
    <w:rPr>
      <w:sz w:val="22"/>
      <w:szCs w:val="22"/>
    </w:rPr>
  </w:style>
  <w:style w:type="paragraph" w:styleId="BodyTextIndent3">
    <w:name w:val="Body Text Indent 3"/>
    <w:basedOn w:val="Normal"/>
    <w:link w:val="BodyTextIndent3Char"/>
    <w:uiPriority w:val="99"/>
    <w:semiHidden/>
    <w:unhideWhenUsed/>
    <w:rsid w:val="0057753E"/>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57753E"/>
    <w:rPr>
      <w:sz w:val="16"/>
      <w:szCs w:val="16"/>
    </w:rPr>
  </w:style>
  <w:style w:type="paragraph" w:styleId="Caption">
    <w:name w:val="caption"/>
    <w:basedOn w:val="Normal"/>
    <w:next w:val="Normal"/>
    <w:uiPriority w:val="35"/>
    <w:semiHidden/>
    <w:unhideWhenUsed/>
    <w:qFormat/>
    <w:rsid w:val="0057753E"/>
    <w:pPr>
      <w:spacing w:before="0" w:after="200" w:line="240" w:lineRule="auto"/>
    </w:pPr>
    <w:rPr>
      <w:i/>
      <w:iCs/>
      <w:color w:val="0E2841" w:themeColor="text2"/>
      <w:sz w:val="18"/>
      <w:szCs w:val="18"/>
    </w:rPr>
  </w:style>
  <w:style w:type="paragraph" w:styleId="Closing">
    <w:name w:val="Closing"/>
    <w:basedOn w:val="Normal"/>
    <w:link w:val="ClosingChar"/>
    <w:uiPriority w:val="99"/>
    <w:semiHidden/>
    <w:unhideWhenUsed/>
    <w:rsid w:val="0057753E"/>
    <w:pPr>
      <w:spacing w:before="0" w:after="0" w:line="240" w:lineRule="auto"/>
      <w:ind w:left="4252"/>
    </w:pPr>
  </w:style>
  <w:style w:type="character" w:customStyle="1" w:styleId="ClosingChar">
    <w:name w:val="Closing Char"/>
    <w:basedOn w:val="DefaultParagraphFont"/>
    <w:link w:val="Closing"/>
    <w:uiPriority w:val="99"/>
    <w:semiHidden/>
    <w:rsid w:val="0057753E"/>
    <w:rPr>
      <w:sz w:val="22"/>
      <w:szCs w:val="22"/>
    </w:rPr>
  </w:style>
  <w:style w:type="paragraph" w:styleId="Date">
    <w:name w:val="Date"/>
    <w:basedOn w:val="Normal"/>
    <w:next w:val="Normal"/>
    <w:link w:val="DateChar"/>
    <w:uiPriority w:val="99"/>
    <w:semiHidden/>
    <w:unhideWhenUsed/>
    <w:rsid w:val="0057753E"/>
  </w:style>
  <w:style w:type="character" w:customStyle="1" w:styleId="DateChar">
    <w:name w:val="Date Char"/>
    <w:basedOn w:val="DefaultParagraphFont"/>
    <w:link w:val="Date"/>
    <w:uiPriority w:val="99"/>
    <w:semiHidden/>
    <w:rsid w:val="0057753E"/>
    <w:rPr>
      <w:sz w:val="22"/>
      <w:szCs w:val="22"/>
    </w:rPr>
  </w:style>
  <w:style w:type="paragraph" w:styleId="DocumentMap">
    <w:name w:val="Document Map"/>
    <w:basedOn w:val="Normal"/>
    <w:link w:val="DocumentMapChar"/>
    <w:uiPriority w:val="99"/>
    <w:semiHidden/>
    <w:unhideWhenUsed/>
    <w:rsid w:val="0057753E"/>
    <w:pPr>
      <w:spacing w:before="0"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57753E"/>
    <w:rPr>
      <w:rFonts w:ascii="Segoe UI" w:hAnsi="Segoe UI" w:cs="Segoe UI"/>
      <w:sz w:val="16"/>
      <w:szCs w:val="16"/>
    </w:rPr>
  </w:style>
  <w:style w:type="paragraph" w:styleId="E-mailSignature">
    <w:name w:val="E-mail Signature"/>
    <w:basedOn w:val="Normal"/>
    <w:link w:val="E-mailSignatureChar"/>
    <w:uiPriority w:val="99"/>
    <w:semiHidden/>
    <w:unhideWhenUsed/>
    <w:rsid w:val="0057753E"/>
    <w:pPr>
      <w:spacing w:before="0" w:after="0" w:line="240" w:lineRule="auto"/>
    </w:pPr>
  </w:style>
  <w:style w:type="character" w:customStyle="1" w:styleId="E-mailSignatureChar">
    <w:name w:val="E-mail Signature Char"/>
    <w:basedOn w:val="DefaultParagraphFont"/>
    <w:link w:val="E-mailSignature"/>
    <w:uiPriority w:val="99"/>
    <w:semiHidden/>
    <w:rsid w:val="0057753E"/>
    <w:rPr>
      <w:sz w:val="22"/>
      <w:szCs w:val="22"/>
    </w:rPr>
  </w:style>
  <w:style w:type="paragraph" w:styleId="EnvelopeAddress">
    <w:name w:val="envelope address"/>
    <w:basedOn w:val="Normal"/>
    <w:uiPriority w:val="99"/>
    <w:semiHidden/>
    <w:unhideWhenUsed/>
    <w:rsid w:val="0057753E"/>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57753E"/>
    <w:pPr>
      <w:spacing w:before="0" w:after="0" w:line="240" w:lineRule="auto"/>
    </w:pPr>
    <w:rPr>
      <w:rFonts w:asciiTheme="majorHAnsi" w:eastAsiaTheme="majorEastAsia" w:hAnsiTheme="majorHAnsi" w:cstheme="majorBidi"/>
      <w:sz w:val="20"/>
      <w:szCs w:val="20"/>
    </w:rPr>
  </w:style>
  <w:style w:type="paragraph" w:styleId="HTMLAddress">
    <w:name w:val="HTML Address"/>
    <w:basedOn w:val="Normal"/>
    <w:link w:val="HTMLAddressChar"/>
    <w:uiPriority w:val="99"/>
    <w:semiHidden/>
    <w:unhideWhenUsed/>
    <w:rsid w:val="0057753E"/>
    <w:pPr>
      <w:spacing w:before="0" w:after="0" w:line="240" w:lineRule="auto"/>
    </w:pPr>
    <w:rPr>
      <w:i/>
      <w:iCs/>
    </w:rPr>
  </w:style>
  <w:style w:type="character" w:customStyle="1" w:styleId="HTMLAddressChar">
    <w:name w:val="HTML Address Char"/>
    <w:basedOn w:val="DefaultParagraphFont"/>
    <w:link w:val="HTMLAddress"/>
    <w:uiPriority w:val="99"/>
    <w:semiHidden/>
    <w:rsid w:val="0057753E"/>
    <w:rPr>
      <w:i/>
      <w:iCs/>
      <w:sz w:val="22"/>
      <w:szCs w:val="22"/>
    </w:rPr>
  </w:style>
  <w:style w:type="paragraph" w:styleId="HTMLPreformatted">
    <w:name w:val="HTML Preformatted"/>
    <w:basedOn w:val="Normal"/>
    <w:link w:val="HTMLPreformattedChar"/>
    <w:uiPriority w:val="99"/>
    <w:semiHidden/>
    <w:unhideWhenUsed/>
    <w:rsid w:val="0057753E"/>
    <w:pPr>
      <w:spacing w:before="0"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57753E"/>
    <w:rPr>
      <w:rFonts w:ascii="Consolas" w:hAnsi="Consolas"/>
      <w:sz w:val="20"/>
      <w:szCs w:val="20"/>
    </w:rPr>
  </w:style>
  <w:style w:type="paragraph" w:styleId="Index1">
    <w:name w:val="index 1"/>
    <w:basedOn w:val="Normal"/>
    <w:next w:val="Normal"/>
    <w:autoRedefine/>
    <w:uiPriority w:val="99"/>
    <w:semiHidden/>
    <w:unhideWhenUsed/>
    <w:rsid w:val="0057753E"/>
    <w:pPr>
      <w:spacing w:before="0" w:after="0" w:line="240" w:lineRule="auto"/>
      <w:ind w:left="220" w:hanging="220"/>
    </w:pPr>
  </w:style>
  <w:style w:type="paragraph" w:styleId="Index2">
    <w:name w:val="index 2"/>
    <w:basedOn w:val="Normal"/>
    <w:next w:val="Normal"/>
    <w:autoRedefine/>
    <w:uiPriority w:val="99"/>
    <w:semiHidden/>
    <w:unhideWhenUsed/>
    <w:rsid w:val="0057753E"/>
    <w:pPr>
      <w:spacing w:before="0" w:after="0" w:line="240" w:lineRule="auto"/>
      <w:ind w:left="440" w:hanging="220"/>
    </w:pPr>
  </w:style>
  <w:style w:type="paragraph" w:styleId="Index3">
    <w:name w:val="index 3"/>
    <w:basedOn w:val="Normal"/>
    <w:next w:val="Normal"/>
    <w:autoRedefine/>
    <w:uiPriority w:val="99"/>
    <w:semiHidden/>
    <w:unhideWhenUsed/>
    <w:rsid w:val="0057753E"/>
    <w:pPr>
      <w:spacing w:before="0" w:after="0" w:line="240" w:lineRule="auto"/>
      <w:ind w:left="660" w:hanging="220"/>
    </w:pPr>
  </w:style>
  <w:style w:type="paragraph" w:styleId="Index4">
    <w:name w:val="index 4"/>
    <w:basedOn w:val="Normal"/>
    <w:next w:val="Normal"/>
    <w:autoRedefine/>
    <w:uiPriority w:val="99"/>
    <w:semiHidden/>
    <w:unhideWhenUsed/>
    <w:rsid w:val="0057753E"/>
    <w:pPr>
      <w:spacing w:before="0" w:after="0" w:line="240" w:lineRule="auto"/>
      <w:ind w:left="880" w:hanging="220"/>
    </w:pPr>
  </w:style>
  <w:style w:type="paragraph" w:styleId="Index5">
    <w:name w:val="index 5"/>
    <w:basedOn w:val="Normal"/>
    <w:next w:val="Normal"/>
    <w:autoRedefine/>
    <w:uiPriority w:val="99"/>
    <w:semiHidden/>
    <w:unhideWhenUsed/>
    <w:rsid w:val="0057753E"/>
    <w:pPr>
      <w:spacing w:before="0" w:after="0" w:line="240" w:lineRule="auto"/>
      <w:ind w:left="1100" w:hanging="220"/>
    </w:pPr>
  </w:style>
  <w:style w:type="paragraph" w:styleId="Index6">
    <w:name w:val="index 6"/>
    <w:basedOn w:val="Normal"/>
    <w:next w:val="Normal"/>
    <w:autoRedefine/>
    <w:uiPriority w:val="99"/>
    <w:semiHidden/>
    <w:unhideWhenUsed/>
    <w:rsid w:val="0057753E"/>
    <w:pPr>
      <w:spacing w:before="0" w:after="0" w:line="240" w:lineRule="auto"/>
      <w:ind w:left="1320" w:hanging="220"/>
    </w:pPr>
  </w:style>
  <w:style w:type="paragraph" w:styleId="Index7">
    <w:name w:val="index 7"/>
    <w:basedOn w:val="Normal"/>
    <w:next w:val="Normal"/>
    <w:autoRedefine/>
    <w:uiPriority w:val="99"/>
    <w:semiHidden/>
    <w:unhideWhenUsed/>
    <w:rsid w:val="0057753E"/>
    <w:pPr>
      <w:spacing w:before="0" w:after="0" w:line="240" w:lineRule="auto"/>
      <w:ind w:left="1540" w:hanging="220"/>
    </w:pPr>
  </w:style>
  <w:style w:type="paragraph" w:styleId="Index8">
    <w:name w:val="index 8"/>
    <w:basedOn w:val="Normal"/>
    <w:next w:val="Normal"/>
    <w:autoRedefine/>
    <w:uiPriority w:val="99"/>
    <w:semiHidden/>
    <w:unhideWhenUsed/>
    <w:rsid w:val="0057753E"/>
    <w:pPr>
      <w:spacing w:before="0" w:after="0" w:line="240" w:lineRule="auto"/>
      <w:ind w:left="1760" w:hanging="220"/>
    </w:pPr>
  </w:style>
  <w:style w:type="paragraph" w:styleId="Index9">
    <w:name w:val="index 9"/>
    <w:basedOn w:val="Normal"/>
    <w:next w:val="Normal"/>
    <w:autoRedefine/>
    <w:uiPriority w:val="99"/>
    <w:semiHidden/>
    <w:unhideWhenUsed/>
    <w:rsid w:val="0057753E"/>
    <w:pPr>
      <w:spacing w:before="0" w:after="0" w:line="240" w:lineRule="auto"/>
      <w:ind w:left="1980" w:hanging="220"/>
    </w:pPr>
  </w:style>
  <w:style w:type="paragraph" w:styleId="IndexHeading">
    <w:name w:val="index heading"/>
    <w:basedOn w:val="Normal"/>
    <w:next w:val="Index1"/>
    <w:uiPriority w:val="99"/>
    <w:semiHidden/>
    <w:unhideWhenUsed/>
    <w:rsid w:val="0057753E"/>
    <w:rPr>
      <w:rFonts w:asciiTheme="majorHAnsi" w:eastAsiaTheme="majorEastAsia" w:hAnsiTheme="majorHAnsi" w:cstheme="majorBidi"/>
      <w:b/>
      <w:bCs/>
    </w:rPr>
  </w:style>
  <w:style w:type="paragraph" w:styleId="List">
    <w:name w:val="List"/>
    <w:basedOn w:val="Normal"/>
    <w:uiPriority w:val="99"/>
    <w:semiHidden/>
    <w:unhideWhenUsed/>
    <w:rsid w:val="0057753E"/>
    <w:pPr>
      <w:ind w:left="283" w:hanging="283"/>
      <w:contextualSpacing/>
    </w:pPr>
  </w:style>
  <w:style w:type="paragraph" w:styleId="List2">
    <w:name w:val="List 2"/>
    <w:basedOn w:val="Normal"/>
    <w:uiPriority w:val="99"/>
    <w:semiHidden/>
    <w:unhideWhenUsed/>
    <w:rsid w:val="0057753E"/>
    <w:pPr>
      <w:ind w:left="566" w:hanging="283"/>
      <w:contextualSpacing/>
    </w:pPr>
  </w:style>
  <w:style w:type="paragraph" w:styleId="List3">
    <w:name w:val="List 3"/>
    <w:basedOn w:val="Normal"/>
    <w:uiPriority w:val="99"/>
    <w:semiHidden/>
    <w:unhideWhenUsed/>
    <w:rsid w:val="0057753E"/>
    <w:pPr>
      <w:ind w:left="849" w:hanging="283"/>
      <w:contextualSpacing/>
    </w:pPr>
  </w:style>
  <w:style w:type="paragraph" w:styleId="List4">
    <w:name w:val="List 4"/>
    <w:basedOn w:val="Normal"/>
    <w:uiPriority w:val="99"/>
    <w:semiHidden/>
    <w:unhideWhenUsed/>
    <w:rsid w:val="0057753E"/>
    <w:pPr>
      <w:ind w:left="1132" w:hanging="283"/>
      <w:contextualSpacing/>
    </w:pPr>
  </w:style>
  <w:style w:type="paragraph" w:styleId="List5">
    <w:name w:val="List 5"/>
    <w:basedOn w:val="Normal"/>
    <w:uiPriority w:val="99"/>
    <w:semiHidden/>
    <w:unhideWhenUsed/>
    <w:rsid w:val="0057753E"/>
    <w:pPr>
      <w:ind w:left="1415" w:hanging="283"/>
      <w:contextualSpacing/>
    </w:pPr>
  </w:style>
  <w:style w:type="paragraph" w:styleId="ListBullet">
    <w:name w:val="List Bullet"/>
    <w:basedOn w:val="Normal"/>
    <w:uiPriority w:val="99"/>
    <w:semiHidden/>
    <w:unhideWhenUsed/>
    <w:rsid w:val="0057753E"/>
    <w:pPr>
      <w:numPr>
        <w:numId w:val="20"/>
      </w:numPr>
      <w:contextualSpacing/>
    </w:pPr>
  </w:style>
  <w:style w:type="paragraph" w:styleId="ListBullet2">
    <w:name w:val="List Bullet 2"/>
    <w:basedOn w:val="Normal"/>
    <w:uiPriority w:val="99"/>
    <w:semiHidden/>
    <w:unhideWhenUsed/>
    <w:rsid w:val="0057753E"/>
    <w:pPr>
      <w:numPr>
        <w:numId w:val="21"/>
      </w:numPr>
      <w:contextualSpacing/>
    </w:pPr>
  </w:style>
  <w:style w:type="paragraph" w:styleId="ListBullet3">
    <w:name w:val="List Bullet 3"/>
    <w:basedOn w:val="Normal"/>
    <w:uiPriority w:val="99"/>
    <w:semiHidden/>
    <w:unhideWhenUsed/>
    <w:rsid w:val="0057753E"/>
    <w:pPr>
      <w:numPr>
        <w:numId w:val="22"/>
      </w:numPr>
      <w:contextualSpacing/>
    </w:pPr>
  </w:style>
  <w:style w:type="paragraph" w:styleId="ListBullet4">
    <w:name w:val="List Bullet 4"/>
    <w:basedOn w:val="Normal"/>
    <w:uiPriority w:val="99"/>
    <w:semiHidden/>
    <w:unhideWhenUsed/>
    <w:rsid w:val="0057753E"/>
    <w:pPr>
      <w:numPr>
        <w:numId w:val="23"/>
      </w:numPr>
      <w:contextualSpacing/>
    </w:pPr>
  </w:style>
  <w:style w:type="paragraph" w:styleId="ListBullet5">
    <w:name w:val="List Bullet 5"/>
    <w:basedOn w:val="Normal"/>
    <w:uiPriority w:val="99"/>
    <w:semiHidden/>
    <w:unhideWhenUsed/>
    <w:rsid w:val="0057753E"/>
    <w:pPr>
      <w:numPr>
        <w:numId w:val="24"/>
      </w:numPr>
      <w:contextualSpacing/>
    </w:pPr>
  </w:style>
  <w:style w:type="paragraph" w:styleId="ListContinue">
    <w:name w:val="List Continue"/>
    <w:basedOn w:val="Normal"/>
    <w:uiPriority w:val="99"/>
    <w:semiHidden/>
    <w:unhideWhenUsed/>
    <w:rsid w:val="0057753E"/>
    <w:pPr>
      <w:spacing w:after="120"/>
      <w:ind w:left="283"/>
      <w:contextualSpacing/>
    </w:pPr>
  </w:style>
  <w:style w:type="paragraph" w:styleId="ListContinue2">
    <w:name w:val="List Continue 2"/>
    <w:basedOn w:val="Normal"/>
    <w:uiPriority w:val="99"/>
    <w:semiHidden/>
    <w:unhideWhenUsed/>
    <w:rsid w:val="0057753E"/>
    <w:pPr>
      <w:spacing w:after="120"/>
      <w:ind w:left="566"/>
      <w:contextualSpacing/>
    </w:pPr>
  </w:style>
  <w:style w:type="paragraph" w:styleId="ListContinue3">
    <w:name w:val="List Continue 3"/>
    <w:basedOn w:val="Normal"/>
    <w:uiPriority w:val="99"/>
    <w:semiHidden/>
    <w:unhideWhenUsed/>
    <w:rsid w:val="0057753E"/>
    <w:pPr>
      <w:spacing w:after="120"/>
      <w:ind w:left="849"/>
      <w:contextualSpacing/>
    </w:pPr>
  </w:style>
  <w:style w:type="paragraph" w:styleId="ListContinue4">
    <w:name w:val="List Continue 4"/>
    <w:basedOn w:val="Normal"/>
    <w:uiPriority w:val="99"/>
    <w:semiHidden/>
    <w:unhideWhenUsed/>
    <w:rsid w:val="0057753E"/>
    <w:pPr>
      <w:spacing w:after="120"/>
      <w:ind w:left="1132"/>
      <w:contextualSpacing/>
    </w:pPr>
  </w:style>
  <w:style w:type="paragraph" w:styleId="ListContinue5">
    <w:name w:val="List Continue 5"/>
    <w:basedOn w:val="Normal"/>
    <w:uiPriority w:val="99"/>
    <w:semiHidden/>
    <w:unhideWhenUsed/>
    <w:rsid w:val="0057753E"/>
    <w:pPr>
      <w:spacing w:after="120"/>
      <w:ind w:left="1415"/>
      <w:contextualSpacing/>
    </w:pPr>
  </w:style>
  <w:style w:type="paragraph" w:styleId="ListNumber">
    <w:name w:val="List Number"/>
    <w:basedOn w:val="Normal"/>
    <w:uiPriority w:val="99"/>
    <w:semiHidden/>
    <w:unhideWhenUsed/>
    <w:rsid w:val="0057753E"/>
    <w:pPr>
      <w:numPr>
        <w:numId w:val="25"/>
      </w:numPr>
      <w:contextualSpacing/>
    </w:pPr>
  </w:style>
  <w:style w:type="paragraph" w:styleId="ListNumber2">
    <w:name w:val="List Number 2"/>
    <w:basedOn w:val="Normal"/>
    <w:uiPriority w:val="99"/>
    <w:semiHidden/>
    <w:unhideWhenUsed/>
    <w:rsid w:val="0057753E"/>
    <w:pPr>
      <w:numPr>
        <w:numId w:val="26"/>
      </w:numPr>
      <w:contextualSpacing/>
    </w:pPr>
  </w:style>
  <w:style w:type="paragraph" w:styleId="ListNumber3">
    <w:name w:val="List Number 3"/>
    <w:basedOn w:val="Normal"/>
    <w:uiPriority w:val="99"/>
    <w:semiHidden/>
    <w:unhideWhenUsed/>
    <w:rsid w:val="0057753E"/>
    <w:pPr>
      <w:numPr>
        <w:numId w:val="27"/>
      </w:numPr>
      <w:contextualSpacing/>
    </w:pPr>
  </w:style>
  <w:style w:type="paragraph" w:styleId="ListNumber4">
    <w:name w:val="List Number 4"/>
    <w:basedOn w:val="Normal"/>
    <w:uiPriority w:val="99"/>
    <w:semiHidden/>
    <w:unhideWhenUsed/>
    <w:rsid w:val="0057753E"/>
    <w:pPr>
      <w:numPr>
        <w:numId w:val="28"/>
      </w:numPr>
      <w:contextualSpacing/>
    </w:pPr>
  </w:style>
  <w:style w:type="paragraph" w:styleId="ListNumber5">
    <w:name w:val="List Number 5"/>
    <w:basedOn w:val="Normal"/>
    <w:uiPriority w:val="99"/>
    <w:semiHidden/>
    <w:unhideWhenUsed/>
    <w:rsid w:val="0057753E"/>
    <w:pPr>
      <w:numPr>
        <w:numId w:val="29"/>
      </w:numPr>
      <w:contextualSpacing/>
    </w:pPr>
  </w:style>
  <w:style w:type="paragraph" w:styleId="MacroText">
    <w:name w:val="macro"/>
    <w:link w:val="MacroTextChar"/>
    <w:uiPriority w:val="99"/>
    <w:semiHidden/>
    <w:unhideWhenUsed/>
    <w:rsid w:val="0057753E"/>
    <w:pPr>
      <w:tabs>
        <w:tab w:val="left" w:pos="480"/>
        <w:tab w:val="left" w:pos="960"/>
        <w:tab w:val="left" w:pos="1440"/>
        <w:tab w:val="left" w:pos="1920"/>
        <w:tab w:val="left" w:pos="2400"/>
        <w:tab w:val="left" w:pos="2880"/>
        <w:tab w:val="left" w:pos="3360"/>
        <w:tab w:val="left" w:pos="3840"/>
        <w:tab w:val="left" w:pos="4320"/>
      </w:tabs>
      <w:spacing w:before="240" w:line="276" w:lineRule="auto"/>
      <w:ind w:left="1418"/>
    </w:pPr>
    <w:rPr>
      <w:rFonts w:ascii="Consolas" w:hAnsi="Consolas"/>
      <w:sz w:val="20"/>
      <w:szCs w:val="20"/>
    </w:rPr>
  </w:style>
  <w:style w:type="character" w:customStyle="1" w:styleId="MacroTextChar">
    <w:name w:val="Macro Text Char"/>
    <w:basedOn w:val="DefaultParagraphFont"/>
    <w:link w:val="MacroText"/>
    <w:uiPriority w:val="99"/>
    <w:semiHidden/>
    <w:rsid w:val="0057753E"/>
    <w:rPr>
      <w:rFonts w:ascii="Consolas" w:hAnsi="Consolas"/>
      <w:sz w:val="20"/>
      <w:szCs w:val="20"/>
    </w:rPr>
  </w:style>
  <w:style w:type="paragraph" w:styleId="MessageHeader">
    <w:name w:val="Message Header"/>
    <w:basedOn w:val="Normal"/>
    <w:link w:val="MessageHeaderChar"/>
    <w:uiPriority w:val="99"/>
    <w:semiHidden/>
    <w:unhideWhenUsed/>
    <w:rsid w:val="0057753E"/>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57753E"/>
    <w:rPr>
      <w:rFonts w:asciiTheme="majorHAnsi" w:eastAsiaTheme="majorEastAsia" w:hAnsiTheme="majorHAnsi" w:cstheme="majorBidi"/>
      <w:shd w:val="pct20" w:color="auto" w:fill="auto"/>
    </w:rPr>
  </w:style>
  <w:style w:type="paragraph" w:styleId="NormalIndent">
    <w:name w:val="Normal Indent"/>
    <w:basedOn w:val="Normal"/>
    <w:uiPriority w:val="99"/>
    <w:semiHidden/>
    <w:unhideWhenUsed/>
    <w:rsid w:val="0057753E"/>
    <w:pPr>
      <w:ind w:left="720"/>
    </w:pPr>
  </w:style>
  <w:style w:type="paragraph" w:styleId="NoteHeading">
    <w:name w:val="Note Heading"/>
    <w:basedOn w:val="Normal"/>
    <w:next w:val="Normal"/>
    <w:link w:val="NoteHeadingChar"/>
    <w:uiPriority w:val="99"/>
    <w:semiHidden/>
    <w:unhideWhenUsed/>
    <w:rsid w:val="0057753E"/>
    <w:pPr>
      <w:spacing w:before="0" w:after="0" w:line="240" w:lineRule="auto"/>
    </w:pPr>
  </w:style>
  <w:style w:type="character" w:customStyle="1" w:styleId="NoteHeadingChar">
    <w:name w:val="Note Heading Char"/>
    <w:basedOn w:val="DefaultParagraphFont"/>
    <w:link w:val="NoteHeading"/>
    <w:uiPriority w:val="99"/>
    <w:semiHidden/>
    <w:rsid w:val="0057753E"/>
    <w:rPr>
      <w:sz w:val="22"/>
      <w:szCs w:val="22"/>
    </w:rPr>
  </w:style>
  <w:style w:type="paragraph" w:styleId="PlainText">
    <w:name w:val="Plain Text"/>
    <w:basedOn w:val="Normal"/>
    <w:link w:val="PlainTextChar"/>
    <w:uiPriority w:val="99"/>
    <w:semiHidden/>
    <w:unhideWhenUsed/>
    <w:rsid w:val="0057753E"/>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57753E"/>
    <w:rPr>
      <w:rFonts w:ascii="Consolas" w:hAnsi="Consolas"/>
      <w:sz w:val="21"/>
      <w:szCs w:val="21"/>
    </w:rPr>
  </w:style>
  <w:style w:type="paragraph" w:styleId="Salutation">
    <w:name w:val="Salutation"/>
    <w:basedOn w:val="Normal"/>
    <w:next w:val="Normal"/>
    <w:link w:val="SalutationChar"/>
    <w:uiPriority w:val="99"/>
    <w:semiHidden/>
    <w:unhideWhenUsed/>
    <w:rsid w:val="0057753E"/>
  </w:style>
  <w:style w:type="character" w:customStyle="1" w:styleId="SalutationChar">
    <w:name w:val="Salutation Char"/>
    <w:basedOn w:val="DefaultParagraphFont"/>
    <w:link w:val="Salutation"/>
    <w:uiPriority w:val="99"/>
    <w:semiHidden/>
    <w:rsid w:val="0057753E"/>
    <w:rPr>
      <w:sz w:val="22"/>
      <w:szCs w:val="22"/>
    </w:rPr>
  </w:style>
  <w:style w:type="paragraph" w:styleId="Signature">
    <w:name w:val="Signature"/>
    <w:basedOn w:val="Normal"/>
    <w:link w:val="SignatureChar"/>
    <w:uiPriority w:val="99"/>
    <w:semiHidden/>
    <w:unhideWhenUsed/>
    <w:rsid w:val="0057753E"/>
    <w:pPr>
      <w:spacing w:before="0" w:after="0" w:line="240" w:lineRule="auto"/>
      <w:ind w:left="4252"/>
    </w:pPr>
  </w:style>
  <w:style w:type="character" w:customStyle="1" w:styleId="SignatureChar">
    <w:name w:val="Signature Char"/>
    <w:basedOn w:val="DefaultParagraphFont"/>
    <w:link w:val="Signature"/>
    <w:uiPriority w:val="99"/>
    <w:semiHidden/>
    <w:rsid w:val="0057753E"/>
    <w:rPr>
      <w:sz w:val="22"/>
      <w:szCs w:val="22"/>
    </w:rPr>
  </w:style>
  <w:style w:type="paragraph" w:styleId="TableofAuthorities">
    <w:name w:val="table of authorities"/>
    <w:basedOn w:val="Normal"/>
    <w:next w:val="Normal"/>
    <w:uiPriority w:val="99"/>
    <w:semiHidden/>
    <w:unhideWhenUsed/>
    <w:rsid w:val="0057753E"/>
    <w:pPr>
      <w:spacing w:after="0"/>
      <w:ind w:left="220" w:hanging="220"/>
    </w:pPr>
  </w:style>
  <w:style w:type="paragraph" w:styleId="TableofFigures">
    <w:name w:val="table of figures"/>
    <w:basedOn w:val="Normal"/>
    <w:next w:val="Normal"/>
    <w:uiPriority w:val="99"/>
    <w:semiHidden/>
    <w:unhideWhenUsed/>
    <w:rsid w:val="0057753E"/>
    <w:pPr>
      <w:spacing w:after="0"/>
      <w:ind w:left="0"/>
    </w:pPr>
  </w:style>
  <w:style w:type="paragraph" w:styleId="TOAHeading">
    <w:name w:val="toa heading"/>
    <w:basedOn w:val="Normal"/>
    <w:next w:val="Normal"/>
    <w:uiPriority w:val="99"/>
    <w:semiHidden/>
    <w:unhideWhenUsed/>
    <w:rsid w:val="0057753E"/>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57753E"/>
    <w:pPr>
      <w:spacing w:after="100"/>
      <w:ind w:left="0"/>
    </w:pPr>
  </w:style>
  <w:style w:type="paragraph" w:styleId="TOC2">
    <w:name w:val="toc 2"/>
    <w:basedOn w:val="Normal"/>
    <w:next w:val="Normal"/>
    <w:autoRedefine/>
    <w:uiPriority w:val="39"/>
    <w:semiHidden/>
    <w:unhideWhenUsed/>
    <w:rsid w:val="0057753E"/>
    <w:pPr>
      <w:spacing w:after="100"/>
      <w:ind w:left="220"/>
    </w:pPr>
  </w:style>
  <w:style w:type="paragraph" w:styleId="TOC3">
    <w:name w:val="toc 3"/>
    <w:basedOn w:val="Normal"/>
    <w:next w:val="Normal"/>
    <w:autoRedefine/>
    <w:uiPriority w:val="39"/>
    <w:semiHidden/>
    <w:unhideWhenUsed/>
    <w:rsid w:val="0057753E"/>
    <w:pPr>
      <w:spacing w:after="100"/>
      <w:ind w:left="440"/>
    </w:pPr>
  </w:style>
  <w:style w:type="paragraph" w:styleId="TOC4">
    <w:name w:val="toc 4"/>
    <w:basedOn w:val="Normal"/>
    <w:next w:val="Normal"/>
    <w:autoRedefine/>
    <w:uiPriority w:val="39"/>
    <w:semiHidden/>
    <w:unhideWhenUsed/>
    <w:rsid w:val="0057753E"/>
    <w:pPr>
      <w:spacing w:after="100"/>
      <w:ind w:left="660"/>
    </w:pPr>
  </w:style>
  <w:style w:type="paragraph" w:styleId="TOC5">
    <w:name w:val="toc 5"/>
    <w:basedOn w:val="Normal"/>
    <w:next w:val="Normal"/>
    <w:autoRedefine/>
    <w:uiPriority w:val="39"/>
    <w:semiHidden/>
    <w:unhideWhenUsed/>
    <w:rsid w:val="0057753E"/>
    <w:pPr>
      <w:spacing w:after="100"/>
      <w:ind w:left="880"/>
    </w:pPr>
  </w:style>
  <w:style w:type="paragraph" w:styleId="TOC6">
    <w:name w:val="toc 6"/>
    <w:basedOn w:val="Normal"/>
    <w:next w:val="Normal"/>
    <w:autoRedefine/>
    <w:uiPriority w:val="39"/>
    <w:semiHidden/>
    <w:unhideWhenUsed/>
    <w:rsid w:val="0057753E"/>
    <w:pPr>
      <w:spacing w:after="100"/>
      <w:ind w:left="1100"/>
    </w:pPr>
  </w:style>
  <w:style w:type="paragraph" w:styleId="TOC7">
    <w:name w:val="toc 7"/>
    <w:basedOn w:val="Normal"/>
    <w:next w:val="Normal"/>
    <w:autoRedefine/>
    <w:uiPriority w:val="39"/>
    <w:semiHidden/>
    <w:unhideWhenUsed/>
    <w:rsid w:val="0057753E"/>
    <w:pPr>
      <w:spacing w:after="100"/>
      <w:ind w:left="1320"/>
    </w:pPr>
  </w:style>
  <w:style w:type="paragraph" w:styleId="TOC8">
    <w:name w:val="toc 8"/>
    <w:basedOn w:val="Normal"/>
    <w:next w:val="Normal"/>
    <w:autoRedefine/>
    <w:uiPriority w:val="39"/>
    <w:semiHidden/>
    <w:unhideWhenUsed/>
    <w:rsid w:val="0057753E"/>
    <w:pPr>
      <w:spacing w:after="100"/>
      <w:ind w:left="1540"/>
    </w:pPr>
  </w:style>
  <w:style w:type="paragraph" w:styleId="TOC9">
    <w:name w:val="toc 9"/>
    <w:basedOn w:val="Normal"/>
    <w:next w:val="Normal"/>
    <w:autoRedefine/>
    <w:uiPriority w:val="39"/>
    <w:semiHidden/>
    <w:unhideWhenUsed/>
    <w:rsid w:val="0057753E"/>
    <w:pPr>
      <w:spacing w:after="100"/>
      <w:ind w:left="1760"/>
    </w:pPr>
  </w:style>
  <w:style w:type="paragraph" w:styleId="TOCHeading">
    <w:name w:val="TOC Heading"/>
    <w:basedOn w:val="Heading1"/>
    <w:next w:val="Normal"/>
    <w:uiPriority w:val="39"/>
    <w:semiHidden/>
    <w:unhideWhenUsed/>
    <w:qFormat/>
    <w:rsid w:val="0057753E"/>
    <w:pPr>
      <w:spacing w:before="240" w:after="0"/>
      <w:outlineLvl w:val="9"/>
    </w:pPr>
    <w:rPr>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914235">
      <w:bodyDiv w:val="1"/>
      <w:marLeft w:val="0"/>
      <w:marRight w:val="0"/>
      <w:marTop w:val="0"/>
      <w:marBottom w:val="0"/>
      <w:divBdr>
        <w:top w:val="none" w:sz="0" w:space="0" w:color="auto"/>
        <w:left w:val="none" w:sz="0" w:space="0" w:color="auto"/>
        <w:bottom w:val="none" w:sz="0" w:space="0" w:color="auto"/>
        <w:right w:val="none" w:sz="0" w:space="0" w:color="auto"/>
      </w:divBdr>
    </w:div>
    <w:div w:id="1515341037">
      <w:bodyDiv w:val="1"/>
      <w:marLeft w:val="0"/>
      <w:marRight w:val="0"/>
      <w:marTop w:val="0"/>
      <w:marBottom w:val="0"/>
      <w:divBdr>
        <w:top w:val="none" w:sz="0" w:space="0" w:color="auto"/>
        <w:left w:val="none" w:sz="0" w:space="0" w:color="auto"/>
        <w:bottom w:val="none" w:sz="0" w:space="0" w:color="auto"/>
        <w:right w:val="none" w:sz="0" w:space="0" w:color="auto"/>
      </w:divBdr>
    </w:div>
    <w:div w:id="1535849647">
      <w:bodyDiv w:val="1"/>
      <w:marLeft w:val="0"/>
      <w:marRight w:val="0"/>
      <w:marTop w:val="0"/>
      <w:marBottom w:val="0"/>
      <w:divBdr>
        <w:top w:val="none" w:sz="0" w:space="0" w:color="auto"/>
        <w:left w:val="none" w:sz="0" w:space="0" w:color="auto"/>
        <w:bottom w:val="none" w:sz="0" w:space="0" w:color="auto"/>
        <w:right w:val="none" w:sz="0" w:space="0" w:color="auto"/>
      </w:divBdr>
    </w:div>
    <w:div w:id="1640912400">
      <w:bodyDiv w:val="1"/>
      <w:marLeft w:val="0"/>
      <w:marRight w:val="0"/>
      <w:marTop w:val="0"/>
      <w:marBottom w:val="0"/>
      <w:divBdr>
        <w:top w:val="none" w:sz="0" w:space="0" w:color="auto"/>
        <w:left w:val="none" w:sz="0" w:space="0" w:color="auto"/>
        <w:bottom w:val="none" w:sz="0" w:space="0" w:color="auto"/>
        <w:right w:val="none" w:sz="0" w:space="0" w:color="auto"/>
      </w:divBdr>
    </w:div>
    <w:div w:id="1706826425">
      <w:bodyDiv w:val="1"/>
      <w:marLeft w:val="0"/>
      <w:marRight w:val="0"/>
      <w:marTop w:val="0"/>
      <w:marBottom w:val="0"/>
      <w:divBdr>
        <w:top w:val="none" w:sz="0" w:space="0" w:color="auto"/>
        <w:left w:val="none" w:sz="0" w:space="0" w:color="auto"/>
        <w:bottom w:val="none" w:sz="0" w:space="0" w:color="auto"/>
        <w:right w:val="none" w:sz="0" w:space="0" w:color="auto"/>
      </w:divBdr>
    </w:div>
    <w:div w:id="1708407130">
      <w:bodyDiv w:val="1"/>
      <w:marLeft w:val="0"/>
      <w:marRight w:val="0"/>
      <w:marTop w:val="0"/>
      <w:marBottom w:val="0"/>
      <w:divBdr>
        <w:top w:val="none" w:sz="0" w:space="0" w:color="auto"/>
        <w:left w:val="none" w:sz="0" w:space="0" w:color="auto"/>
        <w:bottom w:val="none" w:sz="0" w:space="0" w:color="auto"/>
        <w:right w:val="none" w:sz="0" w:space="0" w:color="auto"/>
      </w:divBdr>
    </w:div>
    <w:div w:id="1905875405">
      <w:bodyDiv w:val="1"/>
      <w:marLeft w:val="0"/>
      <w:marRight w:val="0"/>
      <w:marTop w:val="0"/>
      <w:marBottom w:val="0"/>
      <w:divBdr>
        <w:top w:val="none" w:sz="0" w:space="0" w:color="auto"/>
        <w:left w:val="none" w:sz="0" w:space="0" w:color="auto"/>
        <w:bottom w:val="none" w:sz="0" w:space="0" w:color="auto"/>
        <w:right w:val="none" w:sz="0" w:space="0" w:color="auto"/>
      </w:divBdr>
    </w:div>
    <w:div w:id="2097095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hyperlink" Target="https://srhrconsortium.org/" TargetMode="External"/><Relationship Id="rId14" Type="http://schemas.openxmlformats.org/officeDocument/2006/relationships/image" Target="media/image6.png"/><Relationship Id="rId22"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srhrconsortium.org"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oecd.org/content/dam/oecd/en/publications/reports/2025/02/transforming-laws-and-norms-to-achieve-universal-sexual-and-reproductive-health-and-rights_6bed8ff9/9244e414-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DAC1EC-C439-DD47-84D5-DBFF41D06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1009</Words>
  <Characters>6546</Characters>
  <Application>Microsoft Office Word</Application>
  <DocSecurity>0</DocSecurity>
  <Lines>124</Lines>
  <Paragraphs>33</Paragraphs>
  <ScaleCrop>false</ScaleCrop>
  <Company/>
  <LinksUpToDate>false</LinksUpToDate>
  <CharactersWithSpaces>7515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Zeshi Fisher</dc:creator>
  <cp:keywords/>
  <dc:description/>
  <cp:lastModifiedBy>Keely Moloney</cp:lastModifiedBy>
  <cp:revision>4</cp:revision>
  <cp:lastPrinted>2025-07-30T05:02:00Z</cp:lastPrinted>
  <dcterms:created xsi:type="dcterms:W3CDTF">2025-07-30T05:02:00Z</dcterms:created>
  <dcterms:modified xsi:type="dcterms:W3CDTF">2025-07-30T05:02:00Z</dcterms:modified>
</cp:coreProperties>
</file>