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79B172" w14:textId="3BC32672" w:rsidR="006710E9" w:rsidRDefault="00D6234B" w:rsidP="004D665C">
      <w:pPr>
        <w:pStyle w:val="Heading2"/>
        <w:spacing w:line="240" w:lineRule="auto"/>
      </w:pPr>
      <w:r w:rsidRPr="005442EA">
        <w:rPr>
          <w:noProof/>
        </w:rPr>
        <w:drawing>
          <wp:anchor distT="0" distB="0" distL="114300" distR="114300" simplePos="0" relativeHeight="251665408" behindDoc="0" locked="0" layoutInCell="1" allowOverlap="1" wp14:anchorId="1FCE6551" wp14:editId="5ACE0F3E">
            <wp:simplePos x="0" y="0"/>
            <wp:positionH relativeFrom="column">
              <wp:posOffset>702522</wp:posOffset>
            </wp:positionH>
            <wp:positionV relativeFrom="paragraph">
              <wp:posOffset>-234950</wp:posOffset>
            </wp:positionV>
            <wp:extent cx="1979802" cy="932751"/>
            <wp:effectExtent l="0" t="0" r="1905" b="0"/>
            <wp:wrapNone/>
            <wp:docPr id="56659324" name="Picture 2" descr="A logo with blue and green wav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59324" name="Picture 2" descr="A logo with blue and green waves&#10;&#10;AI-generated content may be incorrect."/>
                    <pic:cNvPicPr/>
                  </pic:nvPicPr>
                  <pic:blipFill rotWithShape="1">
                    <a:blip r:embed="rId8" cstate="print">
                      <a:extLst>
                        <a:ext uri="{28A0092B-C50C-407E-A947-70E740481C1C}">
                          <a14:useLocalDpi xmlns:a14="http://schemas.microsoft.com/office/drawing/2010/main" val="0"/>
                        </a:ext>
                      </a:extLst>
                    </a:blip>
                    <a:srcRect l="12123" r="19706" b="15335"/>
                    <a:stretch/>
                  </pic:blipFill>
                  <pic:spPr bwMode="auto">
                    <a:xfrm>
                      <a:off x="0" y="0"/>
                      <a:ext cx="1979802" cy="93275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6673713" w14:textId="77777777" w:rsidR="00D6234B" w:rsidRDefault="00D6234B" w:rsidP="004D665C">
      <w:pPr>
        <w:pStyle w:val="Heading2"/>
        <w:spacing w:line="240" w:lineRule="auto"/>
      </w:pPr>
    </w:p>
    <w:p w14:paraId="3515BFC9" w14:textId="77777777" w:rsidR="00987142" w:rsidRDefault="00987142" w:rsidP="004D665C">
      <w:pPr>
        <w:pStyle w:val="Heading2"/>
        <w:spacing w:line="240" w:lineRule="auto"/>
      </w:pPr>
    </w:p>
    <w:p w14:paraId="6FD0BE6E" w14:textId="2305EB04" w:rsidR="11AC5B17" w:rsidRPr="00987142" w:rsidRDefault="00452CA4" w:rsidP="004D665C">
      <w:pPr>
        <w:pStyle w:val="Heading2"/>
        <w:spacing w:line="240" w:lineRule="auto"/>
      </w:pPr>
      <w:r w:rsidRPr="009704E1">
        <w:t>POLICY BRIEF</w:t>
      </w:r>
    </w:p>
    <w:p w14:paraId="5247043A" w14:textId="77777777" w:rsidR="004D665C" w:rsidRDefault="00684C77" w:rsidP="004D665C">
      <w:pPr>
        <w:pStyle w:val="Heading2"/>
        <w:spacing w:line="240" w:lineRule="auto"/>
        <w:rPr>
          <w:rFonts w:asciiTheme="minorHAnsi" w:eastAsiaTheme="minorHAnsi" w:hAnsiTheme="minorHAnsi" w:cstheme="minorBidi"/>
          <w:b/>
          <w:bCs/>
          <w:color w:val="00545B"/>
          <w:spacing w:val="0"/>
          <w:sz w:val="40"/>
          <w:szCs w:val="40"/>
        </w:rPr>
      </w:pPr>
      <w:r w:rsidRPr="00684C77">
        <w:rPr>
          <w:rFonts w:asciiTheme="minorHAnsi" w:eastAsiaTheme="minorHAnsi" w:hAnsiTheme="minorHAnsi" w:cstheme="minorBidi"/>
          <w:b/>
          <w:bCs/>
          <w:color w:val="00545B"/>
          <w:spacing w:val="0"/>
          <w:sz w:val="40"/>
          <w:szCs w:val="40"/>
        </w:rPr>
        <w:t xml:space="preserve">Ensuring Access to Sexual and Reproductive Health Care </w:t>
      </w:r>
      <w:r w:rsidR="0006106C">
        <w:rPr>
          <w:rFonts w:asciiTheme="minorHAnsi" w:eastAsiaTheme="minorHAnsi" w:hAnsiTheme="minorHAnsi" w:cstheme="minorBidi"/>
          <w:b/>
          <w:bCs/>
          <w:color w:val="00545B"/>
          <w:spacing w:val="0"/>
          <w:sz w:val="40"/>
          <w:szCs w:val="40"/>
        </w:rPr>
        <w:t>a</w:t>
      </w:r>
      <w:r w:rsidRPr="00684C77">
        <w:rPr>
          <w:rFonts w:asciiTheme="minorHAnsi" w:eastAsiaTheme="minorHAnsi" w:hAnsiTheme="minorHAnsi" w:cstheme="minorBidi"/>
          <w:b/>
          <w:bCs/>
          <w:color w:val="00545B"/>
          <w:spacing w:val="0"/>
          <w:sz w:val="40"/>
          <w:szCs w:val="40"/>
        </w:rPr>
        <w:t xml:space="preserve">s Part of Universal Health Coverage </w:t>
      </w:r>
    </w:p>
    <w:p w14:paraId="65EF14EE" w14:textId="7C15255B" w:rsidR="00987142" w:rsidRPr="005452E8" w:rsidRDefault="00684C77" w:rsidP="004D665C">
      <w:pPr>
        <w:pStyle w:val="Heading2"/>
        <w:spacing w:line="240" w:lineRule="auto"/>
      </w:pPr>
      <w:r>
        <w:rPr>
          <w:rFonts w:asciiTheme="minorHAnsi" w:eastAsiaTheme="minorHAnsi" w:hAnsiTheme="minorHAnsi" w:cstheme="minorBidi"/>
          <w:b/>
          <w:bCs/>
          <w:color w:val="00545B"/>
          <w:spacing w:val="0"/>
          <w:sz w:val="40"/>
          <w:szCs w:val="40"/>
        </w:rPr>
        <w:br/>
      </w:r>
      <w:r w:rsidR="00987142" w:rsidRPr="005452E8">
        <w:t>International Sexual and Reproductive Health and Rights Consortium</w:t>
      </w:r>
    </w:p>
    <w:p w14:paraId="60A99767" w14:textId="2324BFB6" w:rsidR="005452E8" w:rsidRDefault="00925F6B" w:rsidP="004D665C">
      <w:pPr>
        <w:pStyle w:val="Heading2"/>
        <w:spacing w:line="240" w:lineRule="auto"/>
      </w:pPr>
      <w:r>
        <w:t>30 July</w:t>
      </w:r>
      <w:r w:rsidR="65A1CE80" w:rsidRPr="005452E8">
        <w:t xml:space="preserve"> 2025</w:t>
      </w:r>
    </w:p>
    <w:p w14:paraId="27BC47C0" w14:textId="77777777" w:rsidR="004D665C" w:rsidRPr="004D665C" w:rsidRDefault="004D665C" w:rsidP="004D665C"/>
    <w:p w14:paraId="40D98E7B" w14:textId="4A5D3AE6" w:rsidR="00E54840" w:rsidRPr="00684C77" w:rsidRDefault="00B56861" w:rsidP="004D665C">
      <w:pPr>
        <w:pStyle w:val="Heading2"/>
        <w:spacing w:line="240" w:lineRule="auto"/>
        <w:jc w:val="both"/>
        <w:rPr>
          <w:rFonts w:asciiTheme="minorHAnsi" w:eastAsiaTheme="minorHAnsi" w:hAnsiTheme="minorHAnsi" w:cstheme="minorBidi"/>
          <w:b/>
          <w:bCs/>
          <w:color w:val="auto"/>
          <w:spacing w:val="0"/>
        </w:rPr>
      </w:pPr>
      <w:r w:rsidRPr="00B56861">
        <w:rPr>
          <w:rFonts w:asciiTheme="minorHAnsi" w:eastAsiaTheme="minorHAnsi" w:hAnsiTheme="minorHAnsi" w:cstheme="minorBidi"/>
          <w:b/>
          <w:bCs/>
          <w:color w:val="auto"/>
          <w:spacing w:val="0"/>
        </w:rPr>
        <w:t>This policy brief underscores the need to include SRHR in achieving Universal Health Coverage and is intended to inform advocacy, research, and policy efforts by community leaders, policymakers, public health professionals, and academics.</w:t>
      </w:r>
      <w:r w:rsidR="00684C77" w:rsidRPr="00684C77">
        <w:rPr>
          <w:rFonts w:asciiTheme="minorHAnsi" w:eastAsiaTheme="minorHAnsi" w:hAnsiTheme="minorHAnsi" w:cstheme="minorBidi"/>
          <w:b/>
          <w:bCs/>
          <w:color w:val="auto"/>
          <w:spacing w:val="0"/>
        </w:rPr>
        <w:t xml:space="preserve"> </w:t>
      </w:r>
    </w:p>
    <w:p w14:paraId="503B15A2" w14:textId="77777777" w:rsidR="004D665C" w:rsidRDefault="004D665C" w:rsidP="004D665C">
      <w:pPr>
        <w:pStyle w:val="Heading2"/>
        <w:spacing w:line="240" w:lineRule="auto"/>
      </w:pPr>
    </w:p>
    <w:p w14:paraId="263C1EB9" w14:textId="7D195767" w:rsidR="00684C77" w:rsidRDefault="004D665C" w:rsidP="004D665C">
      <w:pPr>
        <w:pStyle w:val="Heading2"/>
        <w:spacing w:line="240" w:lineRule="auto"/>
      </w:pPr>
      <w:r>
        <w:rPr>
          <w:noProof/>
        </w:rPr>
        <mc:AlternateContent>
          <mc:Choice Requires="wps">
            <w:drawing>
              <wp:anchor distT="0" distB="0" distL="114300" distR="114300" simplePos="0" relativeHeight="251659264" behindDoc="0" locked="0" layoutInCell="1" allowOverlap="1" wp14:anchorId="7CA1F9E8" wp14:editId="06D4E56A">
                <wp:simplePos x="0" y="0"/>
                <wp:positionH relativeFrom="margin">
                  <wp:posOffset>924560</wp:posOffset>
                </wp:positionH>
                <wp:positionV relativeFrom="paragraph">
                  <wp:posOffset>127000</wp:posOffset>
                </wp:positionV>
                <wp:extent cx="4823404" cy="0"/>
                <wp:effectExtent l="0" t="0" r="0" b="0"/>
                <wp:wrapNone/>
                <wp:docPr id="1465948594" name="Straight Connector 3"/>
                <wp:cNvGraphicFramePr/>
                <a:graphic xmlns:a="http://schemas.openxmlformats.org/drawingml/2006/main">
                  <a:graphicData uri="http://schemas.microsoft.com/office/word/2010/wordprocessingShape">
                    <wps:wsp>
                      <wps:cNvCnPr/>
                      <wps:spPr>
                        <a:xfrm>
                          <a:off x="0" y="0"/>
                          <a:ext cx="4823404"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a14="http://schemas.microsoft.com/office/drawing/2010/main" xmlns:pic="http://schemas.openxmlformats.org/drawingml/2006/picture" xmlns:a="http://schemas.openxmlformats.org/drawingml/2006/main">
            <w:pict>
              <v:line id="Straight Connector 3" style="position:absolute;z-index:251659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o:spid="_x0000_s1026" strokecolor="#156082 [3204]" strokeweight="1pt" from="72.8pt,10pt" to="452.6pt,10pt" w14:anchorId="10EB2CF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">
                <v:stroke joinstyle="miter"/>
                <w10:wrap anchorx="margin"/>
              </v:line>
            </w:pict>
          </mc:Fallback>
        </mc:AlternateContent>
      </w:r>
    </w:p>
    <w:p w14:paraId="019FE124" w14:textId="318714F7" w:rsidR="00974195" w:rsidRPr="00732B0F" w:rsidRDefault="00782476" w:rsidP="004D665C">
      <w:pPr>
        <w:pStyle w:val="Heading2"/>
        <w:spacing w:line="240" w:lineRule="auto"/>
      </w:pPr>
      <w:r>
        <w:t>Key messages</w:t>
      </w:r>
    </w:p>
    <w:p w14:paraId="2A26D17D" w14:textId="52567DCD" w:rsidR="00B56861" w:rsidRPr="00582068" w:rsidRDefault="00B56861" w:rsidP="44D5D842">
      <w:pPr>
        <w:pStyle w:val="Heading2"/>
        <w:numPr>
          <w:ilvl w:val="0"/>
          <w:numId w:val="20"/>
        </w:numPr>
        <w:spacing w:line="240" w:lineRule="auto"/>
        <w:jc w:val="both"/>
        <w:rPr>
          <w:rFonts w:asciiTheme="minorHAnsi" w:eastAsiaTheme="minorEastAsia" w:hAnsiTheme="minorHAnsi" w:cstheme="minorBidi"/>
          <w:b/>
          <w:bCs/>
          <w:color w:val="auto"/>
          <w:spacing w:val="0"/>
          <w:lang w:eastAsia="en-AU"/>
        </w:rPr>
      </w:pPr>
      <w:r w:rsidRPr="44D5D842">
        <w:rPr>
          <w:rFonts w:asciiTheme="minorHAnsi" w:eastAsiaTheme="minorEastAsia" w:hAnsiTheme="minorHAnsi" w:cstheme="minorBidi"/>
          <w:b/>
          <w:bCs/>
          <w:color w:val="auto"/>
          <w:spacing w:val="0"/>
          <w:lang w:eastAsia="en-AU"/>
        </w:rPr>
        <w:t>Universal Health Coverage (UHC)</w:t>
      </w:r>
      <w:r w:rsidR="00582068" w:rsidRPr="44D5D842">
        <w:rPr>
          <w:rFonts w:asciiTheme="minorHAnsi" w:eastAsiaTheme="minorEastAsia" w:hAnsiTheme="minorHAnsi" w:cstheme="minorBidi"/>
          <w:color w:val="auto"/>
          <w:spacing w:val="0"/>
          <w:lang w:eastAsia="en-AU"/>
        </w:rPr>
        <w:t xml:space="preserve"> is essential to the right to health—ensuring everyone can access needed care without </w:t>
      </w:r>
      <w:r w:rsidR="51055AEC" w:rsidRPr="51055AEC">
        <w:rPr>
          <w:rFonts w:asciiTheme="minorHAnsi" w:eastAsiaTheme="minorEastAsia" w:hAnsiTheme="minorHAnsi" w:cstheme="minorBidi"/>
          <w:color w:val="auto"/>
          <w:lang w:eastAsia="en-AU"/>
        </w:rPr>
        <w:t>facing additional</w:t>
      </w:r>
      <w:r w:rsidR="00582068" w:rsidRPr="44D5D842">
        <w:rPr>
          <w:rFonts w:asciiTheme="minorHAnsi" w:eastAsiaTheme="minorEastAsia" w:hAnsiTheme="minorHAnsi" w:cstheme="minorBidi"/>
          <w:color w:val="auto"/>
          <w:spacing w:val="0"/>
          <w:lang w:eastAsia="en-AU"/>
        </w:rPr>
        <w:t xml:space="preserve"> financial hardship, and a key goal under SDG 3 and the Universal Declaration of Human Rights.</w:t>
      </w:r>
    </w:p>
    <w:p w14:paraId="696B4641" w14:textId="68FF6DDE" w:rsidR="00684C77" w:rsidRPr="00684C77" w:rsidRDefault="00684C77" w:rsidP="004D665C">
      <w:pPr>
        <w:pStyle w:val="Heading2"/>
        <w:numPr>
          <w:ilvl w:val="0"/>
          <w:numId w:val="20"/>
        </w:numPr>
        <w:spacing w:line="240" w:lineRule="auto"/>
        <w:jc w:val="both"/>
        <w:rPr>
          <w:rFonts w:asciiTheme="minorHAnsi" w:eastAsiaTheme="minorHAnsi" w:hAnsiTheme="minorHAnsi" w:cstheme="minorBidi"/>
          <w:color w:val="auto"/>
          <w:spacing w:val="0"/>
          <w:lang w:eastAsia="en-AU"/>
        </w:rPr>
      </w:pPr>
      <w:r w:rsidRPr="00684C77">
        <w:rPr>
          <w:rFonts w:asciiTheme="minorHAnsi" w:eastAsiaTheme="minorHAnsi" w:hAnsiTheme="minorHAnsi" w:cstheme="minorBidi"/>
          <w:b/>
          <w:bCs/>
          <w:color w:val="auto"/>
          <w:spacing w:val="0"/>
          <w:lang w:eastAsia="en-AU"/>
        </w:rPr>
        <w:t xml:space="preserve">SRHR is fundamental to </w:t>
      </w:r>
      <w:r>
        <w:rPr>
          <w:rFonts w:asciiTheme="minorHAnsi" w:eastAsiaTheme="minorHAnsi" w:hAnsiTheme="minorHAnsi" w:cstheme="minorBidi"/>
          <w:b/>
          <w:bCs/>
          <w:color w:val="auto"/>
          <w:spacing w:val="0"/>
          <w:lang w:eastAsia="en-AU"/>
        </w:rPr>
        <w:t xml:space="preserve">the achievement of </w:t>
      </w:r>
      <w:r w:rsidRPr="00684C77">
        <w:rPr>
          <w:rFonts w:asciiTheme="minorHAnsi" w:eastAsiaTheme="minorHAnsi" w:hAnsiTheme="minorHAnsi" w:cstheme="minorBidi"/>
          <w:b/>
          <w:bCs/>
          <w:color w:val="auto"/>
          <w:spacing w:val="0"/>
          <w:lang w:eastAsia="en-AU"/>
        </w:rPr>
        <w:t>UHC</w:t>
      </w:r>
      <w:r>
        <w:rPr>
          <w:rFonts w:asciiTheme="minorHAnsi" w:eastAsiaTheme="minorHAnsi" w:hAnsiTheme="minorHAnsi" w:cstheme="minorBidi"/>
          <w:b/>
          <w:bCs/>
          <w:color w:val="auto"/>
          <w:spacing w:val="0"/>
          <w:lang w:eastAsia="en-AU"/>
        </w:rPr>
        <w:t xml:space="preserve"> </w:t>
      </w:r>
      <w:r w:rsidRPr="00B56861">
        <w:rPr>
          <w:rFonts w:asciiTheme="minorHAnsi" w:eastAsiaTheme="minorHAnsi" w:hAnsiTheme="minorHAnsi" w:cstheme="minorBidi"/>
          <w:color w:val="auto"/>
          <w:spacing w:val="0"/>
          <w:lang w:eastAsia="en-AU"/>
        </w:rPr>
        <w:t xml:space="preserve">and must be comprehensively integrated </w:t>
      </w:r>
      <w:r w:rsidRPr="00684C77">
        <w:rPr>
          <w:rFonts w:asciiTheme="minorHAnsi" w:eastAsiaTheme="minorHAnsi" w:hAnsiTheme="minorHAnsi" w:cstheme="minorBidi"/>
          <w:color w:val="auto"/>
          <w:spacing w:val="0"/>
          <w:lang w:eastAsia="en-AU"/>
        </w:rPr>
        <w:t>into health policies, financing, and service delivery.</w:t>
      </w:r>
      <w:r w:rsidR="00B56861" w:rsidRPr="00B56861">
        <w:t xml:space="preserve"> </w:t>
      </w:r>
      <w:r w:rsidR="00B56861" w:rsidRPr="00B56861">
        <w:rPr>
          <w:rFonts w:asciiTheme="minorHAnsi" w:eastAsiaTheme="minorHAnsi" w:hAnsiTheme="minorHAnsi" w:cstheme="minorBidi"/>
          <w:color w:val="auto"/>
          <w:spacing w:val="0"/>
          <w:lang w:eastAsia="en-AU"/>
        </w:rPr>
        <w:t>This includes services for contraception, safe abortion or post-abortion care, maternal health, comprehensive sexuality education, and STI/HIV prevention and care.</w:t>
      </w:r>
    </w:p>
    <w:p w14:paraId="53730ED1" w14:textId="152D400F" w:rsidR="00684C77" w:rsidRDefault="00684C77" w:rsidP="004D665C">
      <w:pPr>
        <w:pStyle w:val="Heading2"/>
        <w:numPr>
          <w:ilvl w:val="0"/>
          <w:numId w:val="20"/>
        </w:numPr>
        <w:spacing w:line="240" w:lineRule="auto"/>
        <w:jc w:val="both"/>
        <w:rPr>
          <w:rFonts w:asciiTheme="minorHAnsi" w:eastAsiaTheme="minorHAnsi" w:hAnsiTheme="minorHAnsi" w:cstheme="minorBidi"/>
          <w:color w:val="auto"/>
          <w:spacing w:val="0"/>
          <w:lang w:eastAsia="en-AU"/>
        </w:rPr>
      </w:pPr>
      <w:r>
        <w:rPr>
          <w:rFonts w:asciiTheme="minorHAnsi" w:eastAsiaTheme="minorHAnsi" w:hAnsiTheme="minorHAnsi" w:cstheme="minorBidi"/>
          <w:b/>
          <w:bCs/>
          <w:color w:val="auto"/>
          <w:spacing w:val="0"/>
          <w:lang w:eastAsia="en-AU"/>
        </w:rPr>
        <w:t>SRHR is a h</w:t>
      </w:r>
      <w:r w:rsidRPr="00684C77">
        <w:rPr>
          <w:rFonts w:asciiTheme="minorHAnsi" w:eastAsiaTheme="minorHAnsi" w:hAnsiTheme="minorHAnsi" w:cstheme="minorBidi"/>
          <w:b/>
          <w:bCs/>
          <w:color w:val="auto"/>
          <w:spacing w:val="0"/>
          <w:lang w:eastAsia="en-AU"/>
        </w:rPr>
        <w:t>igh-impact investment</w:t>
      </w:r>
      <w:r>
        <w:rPr>
          <w:rFonts w:asciiTheme="minorHAnsi" w:eastAsiaTheme="minorHAnsi" w:hAnsiTheme="minorHAnsi" w:cstheme="minorBidi"/>
          <w:b/>
          <w:bCs/>
          <w:color w:val="auto"/>
          <w:spacing w:val="0"/>
          <w:lang w:eastAsia="en-AU"/>
        </w:rPr>
        <w:t xml:space="preserve"> </w:t>
      </w:r>
      <w:r w:rsidRPr="00684C77">
        <w:rPr>
          <w:rFonts w:asciiTheme="minorHAnsi" w:eastAsiaTheme="minorHAnsi" w:hAnsiTheme="minorHAnsi" w:cstheme="minorBidi"/>
          <w:color w:val="auto"/>
          <w:spacing w:val="0"/>
          <w:lang w:eastAsia="en-AU"/>
        </w:rPr>
        <w:t>that improves health outcomes, reduces maternal and neonatal mortality, promotes gender equality,</w:t>
      </w:r>
      <w:r>
        <w:rPr>
          <w:rFonts w:asciiTheme="minorHAnsi" w:eastAsiaTheme="minorHAnsi" w:hAnsiTheme="minorHAnsi" w:cstheme="minorBidi"/>
          <w:color w:val="auto"/>
          <w:spacing w:val="0"/>
          <w:lang w:eastAsia="en-AU"/>
        </w:rPr>
        <w:t xml:space="preserve"> upholds human rights commitments</w:t>
      </w:r>
      <w:r w:rsidRPr="00684C77">
        <w:rPr>
          <w:rFonts w:asciiTheme="minorHAnsi" w:eastAsiaTheme="minorHAnsi" w:hAnsiTheme="minorHAnsi" w:cstheme="minorBidi"/>
          <w:color w:val="auto"/>
          <w:spacing w:val="0"/>
          <w:lang w:eastAsia="en-AU"/>
        </w:rPr>
        <w:t xml:space="preserve"> and drives </w:t>
      </w:r>
      <w:r>
        <w:rPr>
          <w:rFonts w:asciiTheme="minorHAnsi" w:eastAsiaTheme="minorHAnsi" w:hAnsiTheme="minorHAnsi" w:cstheme="minorBidi"/>
          <w:color w:val="auto"/>
          <w:spacing w:val="0"/>
          <w:lang w:eastAsia="en-AU"/>
        </w:rPr>
        <w:t xml:space="preserve">sustainable </w:t>
      </w:r>
      <w:r w:rsidRPr="00684C77">
        <w:rPr>
          <w:rFonts w:asciiTheme="minorHAnsi" w:eastAsiaTheme="minorHAnsi" w:hAnsiTheme="minorHAnsi" w:cstheme="minorBidi"/>
          <w:color w:val="auto"/>
          <w:spacing w:val="0"/>
          <w:lang w:eastAsia="en-AU"/>
        </w:rPr>
        <w:t>development.</w:t>
      </w:r>
    </w:p>
    <w:p w14:paraId="6555B3E6" w14:textId="77777777" w:rsidR="00582068" w:rsidRDefault="00684C77" w:rsidP="004D665C">
      <w:pPr>
        <w:pStyle w:val="ListParagraph"/>
        <w:numPr>
          <w:ilvl w:val="0"/>
          <w:numId w:val="20"/>
        </w:numPr>
        <w:spacing w:line="240" w:lineRule="auto"/>
        <w:jc w:val="both"/>
        <w:rPr>
          <w:lang w:eastAsia="en-AU"/>
        </w:rPr>
      </w:pPr>
      <w:r w:rsidRPr="00B56861">
        <w:rPr>
          <w:b/>
          <w:bCs/>
          <w:lang w:eastAsia="en-AU"/>
        </w:rPr>
        <w:t>Equitable access to SRHR must be a priority</w:t>
      </w:r>
      <w:r w:rsidR="00B56861">
        <w:rPr>
          <w:lang w:eastAsia="en-AU"/>
        </w:rPr>
        <w:t xml:space="preserve">, recognising </w:t>
      </w:r>
      <w:r w:rsidRPr="00684C77">
        <w:rPr>
          <w:lang w:eastAsia="en-AU"/>
        </w:rPr>
        <w:t>the needs of women, girls, adolescents, and marginalised groups—such as LGBTQ</w:t>
      </w:r>
      <w:r w:rsidR="00B56861">
        <w:rPr>
          <w:lang w:eastAsia="en-AU"/>
        </w:rPr>
        <w:t>I</w:t>
      </w:r>
      <w:r w:rsidRPr="00684C77">
        <w:rPr>
          <w:lang w:eastAsia="en-AU"/>
        </w:rPr>
        <w:t>+ people, people with disabilities, and climate-affected communities—through inclusive, rights-based services and community-led approaches</w:t>
      </w:r>
      <w:r w:rsidR="00B56861">
        <w:rPr>
          <w:lang w:eastAsia="en-AU"/>
        </w:rPr>
        <w:t>.</w:t>
      </w:r>
    </w:p>
    <w:p w14:paraId="69322DC4" w14:textId="24A7E1FC" w:rsidR="00582068" w:rsidRPr="00582068" w:rsidRDefault="61EF6589" w:rsidP="004D665C">
      <w:pPr>
        <w:pStyle w:val="ListParagraph"/>
        <w:numPr>
          <w:ilvl w:val="0"/>
          <w:numId w:val="20"/>
        </w:numPr>
        <w:spacing w:line="240" w:lineRule="auto"/>
        <w:jc w:val="both"/>
        <w:rPr>
          <w:lang w:eastAsia="en-AU"/>
        </w:rPr>
      </w:pPr>
      <w:r w:rsidRPr="61EF6589">
        <w:rPr>
          <w:b/>
          <w:bCs/>
          <w:lang w:eastAsia="en-AU"/>
        </w:rPr>
        <w:t xml:space="preserve">To achieve UHC, investment must be made into building resilient health systems that can meet growing demand for SRHR services – </w:t>
      </w:r>
      <w:r w:rsidRPr="61EF6589">
        <w:rPr>
          <w:lang w:eastAsia="en-AU"/>
        </w:rPr>
        <w:t>through integrated service delivery, building strong supply chains, sustainable financing, and fostering a trained health workforce to ensure consistent, accessible care for all.</w:t>
      </w:r>
    </w:p>
    <w:p w14:paraId="12191041" w14:textId="5E4244D8" w:rsidR="6985FBA7" w:rsidRDefault="0093266B" w:rsidP="004D665C">
      <w:pPr>
        <w:pStyle w:val="NoSpacing"/>
      </w:pPr>
      <w:r>
        <w:rPr>
          <w:noProof/>
        </w:rPr>
        <w:lastRenderedPageBreak/>
        <mc:AlternateContent>
          <mc:Choice Requires="wps">
            <w:drawing>
              <wp:anchor distT="0" distB="0" distL="114300" distR="114300" simplePos="0" relativeHeight="251661312" behindDoc="0" locked="0" layoutInCell="1" allowOverlap="1" wp14:anchorId="52156856" wp14:editId="57C8F8C7">
                <wp:simplePos x="0" y="0"/>
                <wp:positionH relativeFrom="column">
                  <wp:posOffset>930303</wp:posOffset>
                </wp:positionH>
                <wp:positionV relativeFrom="paragraph">
                  <wp:posOffset>63334</wp:posOffset>
                </wp:positionV>
                <wp:extent cx="4823404" cy="0"/>
                <wp:effectExtent l="0" t="0" r="15875" b="12700"/>
                <wp:wrapNone/>
                <wp:docPr id="1736027846" name="Straight Connector 3"/>
                <wp:cNvGraphicFramePr/>
                <a:graphic xmlns:a="http://schemas.openxmlformats.org/drawingml/2006/main">
                  <a:graphicData uri="http://schemas.microsoft.com/office/word/2010/wordprocessingShape">
                    <wps:wsp>
                      <wps:cNvCnPr/>
                      <wps:spPr>
                        <a:xfrm>
                          <a:off x="0" y="0"/>
                          <a:ext cx="4823404"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a14="http://schemas.microsoft.com/office/drawing/2010/main" xmlns:pic="http://schemas.openxmlformats.org/drawingml/2006/picture" xmlns:a="http://schemas.openxmlformats.org/drawingml/2006/main">
            <w:pict>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156082 [3204]" strokeweight="1pt" from="73.25pt,5pt" to="453.05pt,5pt" w14:anchorId="634BE5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">
                <v:stroke joinstyle="miter"/>
              </v:line>
            </w:pict>
          </mc:Fallback>
        </mc:AlternateContent>
      </w:r>
    </w:p>
    <w:p w14:paraId="6DB434B7" w14:textId="3ED4C7E9" w:rsidR="00A17BF7" w:rsidRDefault="00402372" w:rsidP="004D665C">
      <w:pPr>
        <w:pStyle w:val="Heading2"/>
        <w:spacing w:line="240" w:lineRule="auto"/>
      </w:pPr>
      <w:r>
        <w:t>THE ISSUE</w:t>
      </w:r>
    </w:p>
    <w:p w14:paraId="5512A95D" w14:textId="30AAEDFC" w:rsidR="009D5D01" w:rsidRDefault="009D5D01" w:rsidP="004D665C">
      <w:pPr>
        <w:spacing w:line="240" w:lineRule="auto"/>
        <w:jc w:val="both"/>
      </w:pPr>
      <w:r w:rsidRPr="009D5D01">
        <w:rPr>
          <w:b/>
          <w:bCs/>
        </w:rPr>
        <w:t>Universal Health Coverage (UHC) aims to ensure that all people can access the health services they need</w:t>
      </w:r>
      <w:r>
        <w:t xml:space="preserve">—when and where they need them—without facing financial hardship. Achieving UHC is a cornerstone of global health and development efforts and is critical to fulfilling the right to health for all, as outlined in the Universal Declaration of Human Rights and the Sustainable Development Goals (SDG 3 in particular). </w:t>
      </w:r>
    </w:p>
    <w:p w14:paraId="17104293" w14:textId="2878A215" w:rsidR="009D5D01" w:rsidRDefault="009D5D01" w:rsidP="004D665C">
      <w:pPr>
        <w:spacing w:line="240" w:lineRule="auto"/>
        <w:jc w:val="both"/>
      </w:pPr>
      <w:r w:rsidRPr="009D5D01">
        <w:rPr>
          <w:b/>
          <w:bCs/>
        </w:rPr>
        <w:t>Sexual and Reproductive Health and Rights (SRHR) are an essential component of UHC</w:t>
      </w:r>
      <w:r>
        <w:t xml:space="preserve">. SRHR encompasses a broad range of health services and rights, including contraception, maternal and newborn care, safe abortion or post-abortion care, prevention and treatment of sexually transmitted infections (STIs) and HIV, testing and treatment for reproductive tract cancers, and access to comprehensive sexuality education (CSE) for young people. These services are fundamental to reducing maternal and neonatal mortality, preventing unintended pregnancies, supporting bodily autonomy, and advancing gender equality. </w:t>
      </w:r>
    </w:p>
    <w:p w14:paraId="7C894381" w14:textId="36EEC8AF" w:rsidR="009D5D01" w:rsidRDefault="009D5D01" w:rsidP="004D665C">
      <w:pPr>
        <w:spacing w:line="240" w:lineRule="auto"/>
        <w:jc w:val="both"/>
      </w:pPr>
      <w:r w:rsidRPr="009D5D01">
        <w:rPr>
          <w:b/>
          <w:bCs/>
        </w:rPr>
        <w:t>However, SRHR remains underprioritized in many national UHC plans</w:t>
      </w:r>
      <w:r>
        <w:t xml:space="preserve">, including in the Asia-Pacific region where millions continue to face major barriers in accessing essential services and information. These barriers—ranging from financial hardship and geographic isolation to social stigma, discriminatory norms, and restrictive laws—are often compounded by health systems that are under-resourced, fragmented, and ill-prepared to meet diverse SRH needs. </w:t>
      </w:r>
    </w:p>
    <w:p w14:paraId="7397BCE1" w14:textId="680E1CBE" w:rsidR="009D5D01" w:rsidRDefault="61EF6589" w:rsidP="004D665C">
      <w:pPr>
        <w:spacing w:line="240" w:lineRule="auto"/>
        <w:jc w:val="both"/>
      </w:pPr>
      <w:r w:rsidRPr="61EF6589">
        <w:rPr>
          <w:b/>
          <w:bCs/>
        </w:rPr>
        <w:t>The region is witnessing persistent and widening gaps in SRHR</w:t>
      </w:r>
      <w:r>
        <w:t xml:space="preserve">, which threaten hard-won gains in health equity and sustainable development. High maternal mortality, unmet need for contraception, adolescent pregnancies, and rising rates of STIs are all symptoms of critical service gaps. These challenges fall most heavily on women, girls, adolescents, and marginalised communities, including LGBTQI+ individuals, people living with disabilities or those living in rural, remote, and climate-vulnerable areas. Likewise, inadequate health infrastructure, weak supply chains, and fragmented health services leave many countries unable to meet the full spectrum of SRH needs. A chronic shortage of skilled health personnel—including midwives, nurses, and doctors trained in delivering rights-based SRH care—further limits the capacity of health systems to ensure equitable care to all people.  </w:t>
      </w:r>
    </w:p>
    <w:p w14:paraId="24959CA9" w14:textId="22E496CC" w:rsidR="009D5D01" w:rsidRDefault="009D5D01" w:rsidP="004D665C">
      <w:pPr>
        <w:spacing w:line="240" w:lineRule="auto"/>
        <w:jc w:val="both"/>
      </w:pPr>
      <w:r w:rsidRPr="009D5D01">
        <w:rPr>
          <w:b/>
          <w:bCs/>
        </w:rPr>
        <w:t>With nearly 60% of the world’s youth aged 15–25 residing in the Asia-Pacific region</w:t>
      </w:r>
      <w:r>
        <w:t>, the lack of access to CSE also represents both a serious public health challenge and a missed development opportunity</w:t>
      </w:r>
      <w:r w:rsidR="00D266B3">
        <w:rPr>
          <w:rStyle w:val="EndnoteReference"/>
        </w:rPr>
        <w:endnoteReference w:id="1"/>
      </w:r>
      <w:r>
        <w:t xml:space="preserve">. Without accurate, age-appropriate, and culturally relevant information, young people are unable to make informed decisions about their bodies, relationships, and futures. This gap leaves them vulnerable to adolescent pregnancy, sexually transmitted infections including HIV, early and forced marriage, and sexual and gender-based violence.  </w:t>
      </w:r>
    </w:p>
    <w:p w14:paraId="451CD462" w14:textId="77777777" w:rsidR="004D665C" w:rsidRDefault="004D665C" w:rsidP="004D665C">
      <w:pPr>
        <w:spacing w:line="240" w:lineRule="auto"/>
        <w:jc w:val="both"/>
      </w:pPr>
    </w:p>
    <w:p w14:paraId="42223F28" w14:textId="77777777" w:rsidR="004D665C" w:rsidRDefault="004D665C" w:rsidP="004D665C">
      <w:pPr>
        <w:spacing w:line="240" w:lineRule="auto"/>
        <w:jc w:val="both"/>
      </w:pPr>
    </w:p>
    <w:p w14:paraId="708A1E4A" w14:textId="77777777" w:rsidR="004D665C" w:rsidRDefault="004D665C" w:rsidP="004D665C">
      <w:pPr>
        <w:spacing w:line="240" w:lineRule="auto"/>
        <w:jc w:val="both"/>
      </w:pPr>
    </w:p>
    <w:p w14:paraId="5049FE5F" w14:textId="60B6E63B" w:rsidR="00954D43" w:rsidRPr="0066635B" w:rsidRDefault="00954D43" w:rsidP="004D665C">
      <w:pPr>
        <w:spacing w:line="240" w:lineRule="auto"/>
        <w:jc w:val="both"/>
        <w:rPr>
          <w:b/>
          <w:bCs/>
        </w:rPr>
      </w:pPr>
      <w:r>
        <w:rPr>
          <w:noProof/>
        </w:rPr>
        <w:lastRenderedPageBreak/>
        <mc:AlternateContent>
          <mc:Choice Requires="wps">
            <w:drawing>
              <wp:anchor distT="0" distB="0" distL="114300" distR="114300" simplePos="0" relativeHeight="251703296" behindDoc="0" locked="0" layoutInCell="1" allowOverlap="1" wp14:anchorId="6C990805" wp14:editId="027E0772">
                <wp:simplePos x="0" y="0"/>
                <wp:positionH relativeFrom="column">
                  <wp:posOffset>911860</wp:posOffset>
                </wp:positionH>
                <wp:positionV relativeFrom="paragraph">
                  <wp:posOffset>96520</wp:posOffset>
                </wp:positionV>
                <wp:extent cx="5043948" cy="0"/>
                <wp:effectExtent l="0" t="0" r="10795" b="12700"/>
                <wp:wrapNone/>
                <wp:docPr id="107930533" name="Straight Connector 3"/>
                <wp:cNvGraphicFramePr/>
                <a:graphic xmlns:a="http://schemas.openxmlformats.org/drawingml/2006/main">
                  <a:graphicData uri="http://schemas.microsoft.com/office/word/2010/wordprocessingShape">
                    <wps:wsp>
                      <wps:cNvCnPr/>
                      <wps:spPr>
                        <a:xfrm>
                          <a:off x="0" y="0"/>
                          <a:ext cx="5043948"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a14="http://schemas.microsoft.com/office/drawing/2010/main" xmlns:pic="http://schemas.openxmlformats.org/drawingml/2006/picture" xmlns:a="http://schemas.openxmlformats.org/drawingml/2006/main">
            <w:pict>
              <v:line id="Straight Connector 3" style="position:absolute;z-index:2517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156082 [3204]" strokeweight="1pt" from="71.8pt,7.6pt" to="468.95pt,7.6pt" w14:anchorId="476D8F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">
                <v:stroke joinstyle="miter"/>
              </v:line>
            </w:pict>
          </mc:Fallback>
        </mc:AlternateContent>
      </w:r>
    </w:p>
    <w:p w14:paraId="662D35EE" w14:textId="7D559FC7" w:rsidR="00505DB5" w:rsidRPr="009A2476" w:rsidRDefault="00EC0FD7" w:rsidP="004D665C">
      <w:pPr>
        <w:pStyle w:val="Heading2"/>
        <w:spacing w:line="240" w:lineRule="auto"/>
        <w:jc w:val="both"/>
      </w:pPr>
      <w:r w:rsidRPr="009A2476">
        <w:t>O</w:t>
      </w:r>
      <w:r w:rsidR="009A2476">
        <w:t>PPORTUNITIES</w:t>
      </w:r>
    </w:p>
    <w:p w14:paraId="34311F23" w14:textId="1D4D7F5F" w:rsidR="001038E2" w:rsidRDefault="001038E2" w:rsidP="004D665C">
      <w:pPr>
        <w:spacing w:line="240" w:lineRule="auto"/>
        <w:jc w:val="both"/>
      </w:pPr>
      <w:r w:rsidRPr="001038E2">
        <w:rPr>
          <w:b/>
          <w:bCs/>
        </w:rPr>
        <w:t>Integrating SRHR into UHC strategies</w:t>
      </w:r>
      <w:r w:rsidRPr="001038E2">
        <w:t xml:space="preserve"> offers a pathway to streamline services, improve efficiency, and ensure comprehensive, rights-based care for all</w:t>
      </w:r>
      <w:r w:rsidR="00736B1E">
        <w:rPr>
          <w:rStyle w:val="EndnoteReference"/>
        </w:rPr>
        <w:endnoteReference w:id="2"/>
      </w:r>
      <w:r w:rsidRPr="001038E2">
        <w:t xml:space="preserve">. Governments can strengthen health system resilience by embedding essential SRHR services—such as contraception, safe abortion and post-abortion care, maternal health, STI prevention, and support for survivors of </w:t>
      </w:r>
      <w:r w:rsidR="003B5C10">
        <w:t xml:space="preserve">sexual and </w:t>
      </w:r>
      <w:r w:rsidRPr="001038E2">
        <w:t xml:space="preserve">gender-based violence (SGBV)—within national health packages and financing frameworks. This integration not only advances health outcomes but also promotes gender equality and progress </w:t>
      </w:r>
      <w:r w:rsidR="003B5C10">
        <w:t>towards development commitments</w:t>
      </w:r>
      <w:r w:rsidR="00D266B3">
        <w:t>.</w:t>
      </w:r>
    </w:p>
    <w:p w14:paraId="294460F2" w14:textId="35CC9FDB" w:rsidR="001038E2" w:rsidRDefault="001038E2" w:rsidP="004D665C">
      <w:pPr>
        <w:spacing w:line="240" w:lineRule="auto"/>
        <w:jc w:val="both"/>
      </w:pPr>
      <w:r w:rsidRPr="009A2476">
        <w:rPr>
          <w:b/>
          <w:bCs/>
        </w:rPr>
        <w:t>Securing dedicated funding for SRHR within national health budgets is crucial to realising these gains and unlocking long-term demographic and development benefits.</w:t>
      </w:r>
      <w:r>
        <w:t xml:space="preserve"> In line with the guidance put forward by WHO</w:t>
      </w:r>
      <w:r w:rsidR="00736B1E">
        <w:rPr>
          <w:rStyle w:val="EndnoteReference"/>
        </w:rPr>
        <w:endnoteReference w:id="3"/>
      </w:r>
      <w:r>
        <w:t xml:space="preserve">, this should take a multi-step approach that considers policy and legislative reform, improvements to health infrastructure, building workforce capacity, strengthening supply chains and improving the delivery of high-quality, integrated services.  </w:t>
      </w:r>
    </w:p>
    <w:p w14:paraId="4FA4F4F1" w14:textId="0E13DBE6" w:rsidR="001038E2" w:rsidRDefault="61EF6589" w:rsidP="004D665C">
      <w:pPr>
        <w:spacing w:line="240" w:lineRule="auto"/>
        <w:jc w:val="both"/>
      </w:pPr>
      <w:r w:rsidRPr="61EF6589">
        <w:rPr>
          <w:b/>
          <w:bCs/>
        </w:rPr>
        <w:t>In line with this, national and donor governments alike must prioritise SRHR as a central pillar of their health and gender equality commitments</w:t>
      </w:r>
      <w:r>
        <w:t>. Increased international support is essential to empower national governments and partners in scaling up SRHR services and ensuring these commitments translate into tangible health improvements on the ground.</w:t>
      </w:r>
    </w:p>
    <w:p w14:paraId="5F23B930" w14:textId="78844AB0" w:rsidR="009A2476" w:rsidRDefault="009A2476" w:rsidP="004D665C">
      <w:pPr>
        <w:spacing w:line="240" w:lineRule="auto"/>
        <w:jc w:val="both"/>
      </w:pPr>
      <w:r w:rsidRPr="009A2476">
        <w:rPr>
          <w:b/>
          <w:bCs/>
        </w:rPr>
        <w:t xml:space="preserve">Investing in SRHR is not only a human rights imperative but also a highly strategic and cost-effective approach to building stronger health systems, </w:t>
      </w:r>
      <w:r w:rsidRPr="009A2476">
        <w:t>reducing the burden of preventable diseases, and enabling individuals—especially women, girls, and young people—to participate fully and equally in social, economic, and political life. To close persistent service gaps and address inequalities, governments must commit to sustained, targeted investment in SRHR as a foundation for resilient, inclusive, and equitable health systems.</w:t>
      </w:r>
    </w:p>
    <w:p w14:paraId="11DEF8B0" w14:textId="77777777" w:rsidR="009A2476" w:rsidRDefault="009A2476" w:rsidP="004D665C">
      <w:pPr>
        <w:spacing w:line="240" w:lineRule="auto"/>
        <w:jc w:val="both"/>
      </w:pPr>
    </w:p>
    <w:p w14:paraId="07FD88FF" w14:textId="3FE40372" w:rsidR="009A2476" w:rsidRPr="009A2476" w:rsidRDefault="00274FFA" w:rsidP="004D665C">
      <w:pPr>
        <w:pStyle w:val="Heading2"/>
        <w:spacing w:line="240" w:lineRule="auto"/>
        <w:jc w:val="both"/>
      </w:pPr>
      <w:r>
        <w:rPr>
          <w:noProof/>
        </w:rPr>
        <mc:AlternateContent>
          <mc:Choice Requires="wps">
            <w:drawing>
              <wp:anchor distT="0" distB="0" distL="114300" distR="114300" simplePos="0" relativeHeight="251705344" behindDoc="0" locked="0" layoutInCell="1" allowOverlap="1" wp14:anchorId="519A346C" wp14:editId="0C8D765F">
                <wp:simplePos x="0" y="0"/>
                <wp:positionH relativeFrom="column">
                  <wp:posOffset>920299</wp:posOffset>
                </wp:positionH>
                <wp:positionV relativeFrom="paragraph">
                  <wp:posOffset>-159918</wp:posOffset>
                </wp:positionV>
                <wp:extent cx="5043948" cy="0"/>
                <wp:effectExtent l="0" t="0" r="10795" b="12700"/>
                <wp:wrapNone/>
                <wp:docPr id="1227828733" name="Straight Connector 3"/>
                <wp:cNvGraphicFramePr/>
                <a:graphic xmlns:a="http://schemas.openxmlformats.org/drawingml/2006/main">
                  <a:graphicData uri="http://schemas.microsoft.com/office/word/2010/wordprocessingShape">
                    <wps:wsp>
                      <wps:cNvCnPr/>
                      <wps:spPr>
                        <a:xfrm>
                          <a:off x="0" y="0"/>
                          <a:ext cx="5043948"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a14="http://schemas.microsoft.com/office/drawing/2010/main" xmlns:pic="http://schemas.openxmlformats.org/drawingml/2006/picture" xmlns:a="http://schemas.openxmlformats.org/drawingml/2006/main">
            <w:pict>
              <v:line id="Straight Connector 3" style="position:absolute;z-index:251705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156082 [3204]" strokeweight="1pt" from="72.45pt,-12.6pt" to="469.6pt,-12.6pt" w14:anchorId="2F9FEBA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">
                <v:stroke joinstyle="miter"/>
              </v:line>
            </w:pict>
          </mc:Fallback>
        </mc:AlternateContent>
      </w:r>
      <w:r w:rsidR="00544624">
        <w:t>R</w:t>
      </w:r>
      <w:r w:rsidR="00D266B3">
        <w:t>ECOMMENDATIONS</w:t>
      </w:r>
    </w:p>
    <w:p w14:paraId="659F7965" w14:textId="10A93041" w:rsidR="003B5C10" w:rsidRPr="003B5C10" w:rsidRDefault="003B5C10" w:rsidP="004D665C">
      <w:pPr>
        <w:pStyle w:val="ListParagraph"/>
        <w:numPr>
          <w:ilvl w:val="0"/>
          <w:numId w:val="17"/>
        </w:numPr>
        <w:spacing w:line="240" w:lineRule="auto"/>
        <w:ind w:left="1843" w:hanging="425"/>
        <w:jc w:val="both"/>
      </w:pPr>
      <w:r w:rsidRPr="003B5C10">
        <w:rPr>
          <w:b/>
          <w:bCs/>
        </w:rPr>
        <w:t>Recogni</w:t>
      </w:r>
      <w:r>
        <w:rPr>
          <w:b/>
          <w:bCs/>
        </w:rPr>
        <w:t>s</w:t>
      </w:r>
      <w:r w:rsidRPr="003B5C10">
        <w:rPr>
          <w:b/>
          <w:bCs/>
        </w:rPr>
        <w:t xml:space="preserve">e SRHR as a fundamental </w:t>
      </w:r>
      <w:r>
        <w:rPr>
          <w:b/>
          <w:bCs/>
        </w:rPr>
        <w:t xml:space="preserve">human right </w:t>
      </w:r>
      <w:r w:rsidRPr="003B5C10">
        <w:t>and as</w:t>
      </w:r>
      <w:r>
        <w:t xml:space="preserve"> essential</w:t>
      </w:r>
      <w:r w:rsidRPr="003B5C10">
        <w:t xml:space="preserve"> to strengthening health systems, improving health outcomes, advancing gender equality and progress toward</w:t>
      </w:r>
      <w:r>
        <w:t xml:space="preserve">s development commitments. </w:t>
      </w:r>
    </w:p>
    <w:p w14:paraId="6979CFF9" w14:textId="3E9886D0" w:rsidR="003B5C10" w:rsidRPr="003B5C10" w:rsidRDefault="2F88E8A2" w:rsidP="004D665C">
      <w:pPr>
        <w:pStyle w:val="ListParagraph"/>
        <w:numPr>
          <w:ilvl w:val="0"/>
          <w:numId w:val="17"/>
        </w:numPr>
        <w:spacing w:line="240" w:lineRule="auto"/>
        <w:ind w:left="1843" w:hanging="425"/>
        <w:jc w:val="both"/>
      </w:pPr>
      <w:r w:rsidRPr="2F88E8A2">
        <w:rPr>
          <w:b/>
          <w:bCs/>
        </w:rPr>
        <w:t xml:space="preserve">Fully integrate SRHR into national UHC strategies. </w:t>
      </w:r>
      <w:r>
        <w:t xml:space="preserve">Ensure comprehensive SRHR services, including contraception, safe abortion, maternal health, STI prevention, and support for survivors SGBV, are included in health benefit packages, financing plans, and workforce development. </w:t>
      </w:r>
    </w:p>
    <w:p w14:paraId="4F191FCE" w14:textId="1446F0B2" w:rsidR="009A2476" w:rsidRPr="009A2476" w:rsidRDefault="009A2476" w:rsidP="004D665C">
      <w:pPr>
        <w:pStyle w:val="ListParagraph"/>
        <w:numPr>
          <w:ilvl w:val="0"/>
          <w:numId w:val="17"/>
        </w:numPr>
        <w:spacing w:line="240" w:lineRule="auto"/>
        <w:ind w:left="1843" w:hanging="425"/>
        <w:jc w:val="both"/>
      </w:pPr>
      <w:r w:rsidRPr="009A2476">
        <w:rPr>
          <w:b/>
          <w:bCs/>
        </w:rPr>
        <w:t xml:space="preserve">Invest in resilient, </w:t>
      </w:r>
      <w:r>
        <w:rPr>
          <w:b/>
          <w:bCs/>
        </w:rPr>
        <w:t xml:space="preserve">inclusive </w:t>
      </w:r>
      <w:r w:rsidRPr="009A2476">
        <w:rPr>
          <w:b/>
          <w:bCs/>
        </w:rPr>
        <w:t xml:space="preserve">health systems. </w:t>
      </w:r>
      <w:r w:rsidRPr="009A2476">
        <w:t>Prioritise sustained funding for supply chains,</w:t>
      </w:r>
      <w:r w:rsidR="003B5C10">
        <w:t xml:space="preserve"> building</w:t>
      </w:r>
      <w:r w:rsidRPr="009A2476">
        <w:t xml:space="preserve"> a skilled and </w:t>
      </w:r>
      <w:proofErr w:type="gramStart"/>
      <w:r w:rsidRPr="009A2476">
        <w:t>fairly compensated</w:t>
      </w:r>
      <w:proofErr w:type="gramEnd"/>
      <w:r w:rsidRPr="009A2476">
        <w:t xml:space="preserve"> SRHR workforce, and </w:t>
      </w:r>
      <w:r w:rsidR="003B5C10">
        <w:t xml:space="preserve">expanding </w:t>
      </w:r>
      <w:r w:rsidRPr="009A2476">
        <w:t xml:space="preserve">inclusive, youth-friendly services to build equitable, people-centred systems that can meet diverse needs </w:t>
      </w:r>
      <w:r>
        <w:t xml:space="preserve">of populations </w:t>
      </w:r>
      <w:r w:rsidRPr="009A2476">
        <w:t>and withstand future challenges</w:t>
      </w:r>
    </w:p>
    <w:p w14:paraId="5925B6F6" w14:textId="6596221E" w:rsidR="0006106C" w:rsidRPr="0006106C" w:rsidRDefault="61EF6589" w:rsidP="004D665C">
      <w:pPr>
        <w:pStyle w:val="ListParagraph"/>
        <w:numPr>
          <w:ilvl w:val="0"/>
          <w:numId w:val="17"/>
        </w:numPr>
        <w:spacing w:line="240" w:lineRule="auto"/>
        <w:ind w:left="1843" w:hanging="425"/>
        <w:jc w:val="both"/>
        <w:rPr>
          <w:b/>
          <w:bCs/>
        </w:rPr>
      </w:pPr>
      <w:r w:rsidRPr="61EF6589">
        <w:rPr>
          <w:b/>
          <w:bCs/>
        </w:rPr>
        <w:lastRenderedPageBreak/>
        <w:t xml:space="preserve">Guarantee universal access to CSE. </w:t>
      </w:r>
      <w:r>
        <w:t>Scale up age-appropriate, culturally relevant, evidence-based CSE through schools and trusted community channels to empower young people to exercise their SRHR, improve health outcomes, reduce violence, and advance gender equality.</w:t>
      </w:r>
    </w:p>
    <w:p w14:paraId="4B944B4E" w14:textId="31485E03" w:rsidR="003B5C10" w:rsidRPr="003B5C10" w:rsidRDefault="003B5C10" w:rsidP="004D665C">
      <w:pPr>
        <w:pStyle w:val="ListParagraph"/>
        <w:numPr>
          <w:ilvl w:val="0"/>
          <w:numId w:val="17"/>
        </w:numPr>
        <w:spacing w:line="240" w:lineRule="auto"/>
        <w:ind w:left="1843" w:hanging="425"/>
        <w:jc w:val="both"/>
      </w:pPr>
      <w:r w:rsidRPr="003B5C10">
        <w:rPr>
          <w:b/>
          <w:bCs/>
        </w:rPr>
        <w:t xml:space="preserve">Prioritise meaningful community engagement and accountability. </w:t>
      </w:r>
      <w:r w:rsidRPr="003B5C10">
        <w:t>Involve civil society, youth, and marginalised groups in designing and delivering SRH program</w:t>
      </w:r>
      <w:r>
        <w:t xml:space="preserve">ming and </w:t>
      </w:r>
      <w:proofErr w:type="gramStart"/>
      <w:r>
        <w:t>interventions;</w:t>
      </w:r>
      <w:proofErr w:type="gramEnd"/>
      <w:r w:rsidRPr="003B5C10">
        <w:t xml:space="preserve"> build</w:t>
      </w:r>
      <w:r>
        <w:t xml:space="preserve">ing </w:t>
      </w:r>
      <w:r w:rsidRPr="003B5C10">
        <w:t>trust, ensur</w:t>
      </w:r>
      <w:r>
        <w:t>ing</w:t>
      </w:r>
      <w:r w:rsidRPr="003B5C10">
        <w:t xml:space="preserve"> responsiveness, increas</w:t>
      </w:r>
      <w:r>
        <w:t xml:space="preserve">ing </w:t>
      </w:r>
      <w:r w:rsidRPr="003B5C10">
        <w:t>transparency, and promot</w:t>
      </w:r>
      <w:r>
        <w:t>ing</w:t>
      </w:r>
      <w:r w:rsidRPr="003B5C10">
        <w:t xml:space="preserve"> equity.</w:t>
      </w:r>
    </w:p>
    <w:p w14:paraId="5F13FAD9" w14:textId="3400C24F" w:rsidR="0006106C" w:rsidRDefault="0006106C" w:rsidP="004D665C">
      <w:pPr>
        <w:pStyle w:val="ListParagraph"/>
        <w:numPr>
          <w:ilvl w:val="0"/>
          <w:numId w:val="17"/>
        </w:numPr>
        <w:spacing w:line="240" w:lineRule="auto"/>
        <w:ind w:left="1843" w:hanging="425"/>
        <w:jc w:val="both"/>
      </w:pPr>
      <w:r w:rsidRPr="0006106C">
        <w:rPr>
          <w:b/>
          <w:bCs/>
        </w:rPr>
        <w:t xml:space="preserve">Advance policy and legislative reform. </w:t>
      </w:r>
      <w:r w:rsidRPr="0006106C">
        <w:t>Advocate for removing legal and regulatory barriers to SRHR access, enabling full integration within UHC and protecting human rights in the face of growing global challenges.</w:t>
      </w:r>
    </w:p>
    <w:p w14:paraId="5A9883B2" w14:textId="77777777" w:rsidR="00D266B3" w:rsidRPr="009A2476" w:rsidRDefault="00D266B3" w:rsidP="004D665C">
      <w:pPr>
        <w:spacing w:line="240" w:lineRule="auto"/>
        <w:ind w:left="0"/>
      </w:pPr>
    </w:p>
    <w:p w14:paraId="1358C508" w14:textId="60EF2D55" w:rsidR="003563A0" w:rsidRPr="00736B1E" w:rsidRDefault="003563A0" w:rsidP="004D665C">
      <w:pPr>
        <w:spacing w:line="240" w:lineRule="auto"/>
        <w:rPr>
          <w:sz w:val="20"/>
          <w:szCs w:val="20"/>
        </w:rPr>
      </w:pPr>
      <w:r w:rsidRPr="00736B1E">
        <w:rPr>
          <w:sz w:val="20"/>
          <w:szCs w:val="20"/>
        </w:rPr>
        <w:t xml:space="preserve">Visit </w:t>
      </w:r>
      <w:hyperlink r:id="rId9" w:history="1">
        <w:r w:rsidRPr="00736B1E">
          <w:rPr>
            <w:rStyle w:val="Hyperlink"/>
            <w:rFonts w:ascii="Arial" w:hAnsi="Arial" w:cs="Arial"/>
            <w:sz w:val="20"/>
            <w:szCs w:val="20"/>
          </w:rPr>
          <w:t>International Sexual and Reproductive Health and Rights Consortium</w:t>
        </w:r>
      </w:hyperlink>
      <w:r w:rsidRPr="00736B1E">
        <w:rPr>
          <w:sz w:val="20"/>
          <w:szCs w:val="20"/>
        </w:rPr>
        <w:t xml:space="preserve"> for further reading or to find out more about the International SRHR Consortium.</w:t>
      </w:r>
    </w:p>
    <w:p w14:paraId="1F0D3DF8" w14:textId="0085297B" w:rsidR="004D665C" w:rsidRPr="004D665C" w:rsidRDefault="003563A0" w:rsidP="004D665C">
      <w:pPr>
        <w:spacing w:line="240" w:lineRule="auto"/>
        <w:rPr>
          <w:sz w:val="20"/>
          <w:szCs w:val="20"/>
        </w:rPr>
      </w:pPr>
      <w:r w:rsidRPr="00736B1E">
        <w:rPr>
          <w:sz w:val="20"/>
          <w:szCs w:val="20"/>
        </w:rPr>
        <w:t xml:space="preserve">Updated </w:t>
      </w:r>
      <w:r w:rsidR="00B93F1D">
        <w:rPr>
          <w:sz w:val="20"/>
          <w:szCs w:val="20"/>
        </w:rPr>
        <w:t>30 July</w:t>
      </w:r>
      <w:r w:rsidR="00090D23" w:rsidRPr="00736B1E">
        <w:rPr>
          <w:sz w:val="20"/>
          <w:szCs w:val="20"/>
        </w:rPr>
        <w:t xml:space="preserve"> </w:t>
      </w:r>
      <w:r w:rsidRPr="00736B1E">
        <w:rPr>
          <w:sz w:val="20"/>
          <w:szCs w:val="20"/>
        </w:rPr>
        <w:t>2025, Version 1.</w:t>
      </w:r>
      <w:r w:rsidR="00460493" w:rsidRPr="00736B1E">
        <w:rPr>
          <w:sz w:val="20"/>
          <w:szCs w:val="20"/>
        </w:rPr>
        <w:t>0</w:t>
      </w:r>
    </w:p>
    <w:p w14:paraId="3A76DC81" w14:textId="1EA67999" w:rsidR="00987142" w:rsidRDefault="00666CE4" w:rsidP="004D665C">
      <w:pPr>
        <w:pStyle w:val="Heading2"/>
        <w:spacing w:line="240" w:lineRule="auto"/>
      </w:pPr>
      <w:r>
        <w:rPr>
          <w:noProof/>
        </w:rPr>
        <w:drawing>
          <wp:anchor distT="0" distB="0" distL="114300" distR="114300" simplePos="0" relativeHeight="251681792" behindDoc="0" locked="0" layoutInCell="1" allowOverlap="1" wp14:anchorId="444E1ED3" wp14:editId="5FE4787D">
            <wp:simplePos x="0" y="0"/>
            <wp:positionH relativeFrom="column">
              <wp:posOffset>988060</wp:posOffset>
            </wp:positionH>
            <wp:positionV relativeFrom="paragraph">
              <wp:posOffset>45551</wp:posOffset>
            </wp:positionV>
            <wp:extent cx="1659890" cy="700405"/>
            <wp:effectExtent l="0" t="0" r="0" b="0"/>
            <wp:wrapNone/>
            <wp:docPr id="1978306678" name="Picture 1"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306678" name="Picture 1" descr="A blue and black logo&#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59890" cy="70040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5888" behindDoc="0" locked="0" layoutInCell="1" allowOverlap="1" wp14:anchorId="2E56523D" wp14:editId="5AEF3F3B">
            <wp:simplePos x="0" y="0"/>
            <wp:positionH relativeFrom="column">
              <wp:posOffset>4315728</wp:posOffset>
            </wp:positionH>
            <wp:positionV relativeFrom="paragraph">
              <wp:posOffset>90269</wp:posOffset>
            </wp:positionV>
            <wp:extent cx="1241425" cy="962660"/>
            <wp:effectExtent l="0" t="0" r="3175" b="2540"/>
            <wp:wrapNone/>
            <wp:docPr id="902323024" name="Picture 3" descr="A logo for a family planning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323024" name="Picture 3" descr="A logo for a family planning company&#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41425" cy="9626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6912" behindDoc="0" locked="0" layoutInCell="1" allowOverlap="1" wp14:anchorId="25DA5EA2" wp14:editId="2759A2E3">
            <wp:simplePos x="0" y="0"/>
            <wp:positionH relativeFrom="column">
              <wp:posOffset>3120326</wp:posOffset>
            </wp:positionH>
            <wp:positionV relativeFrom="paragraph">
              <wp:posOffset>176238</wp:posOffset>
            </wp:positionV>
            <wp:extent cx="671119" cy="677131"/>
            <wp:effectExtent l="0" t="0" r="2540" b="0"/>
            <wp:wrapNone/>
            <wp:docPr id="821321336" name="Picture 4" descr="A logo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321336" name="Picture 4" descr="A logo with text on it&#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71119" cy="677131"/>
                    </a:xfrm>
                    <a:prstGeom prst="rect">
                      <a:avLst/>
                    </a:prstGeom>
                  </pic:spPr>
                </pic:pic>
              </a:graphicData>
            </a:graphic>
            <wp14:sizeRelH relativeFrom="page">
              <wp14:pctWidth>0</wp14:pctWidth>
            </wp14:sizeRelH>
            <wp14:sizeRelV relativeFrom="page">
              <wp14:pctHeight>0</wp14:pctHeight>
            </wp14:sizeRelV>
          </wp:anchor>
        </w:drawing>
      </w:r>
      <w:r w:rsidR="00705F89">
        <w:rPr>
          <w:noProof/>
        </w:rPr>
        <w:drawing>
          <wp:anchor distT="0" distB="0" distL="114300" distR="114300" simplePos="0" relativeHeight="251693056" behindDoc="0" locked="0" layoutInCell="1" allowOverlap="1" wp14:anchorId="6EAA600A" wp14:editId="1796E882">
            <wp:simplePos x="0" y="0"/>
            <wp:positionH relativeFrom="column">
              <wp:posOffset>3042920</wp:posOffset>
            </wp:positionH>
            <wp:positionV relativeFrom="paragraph">
              <wp:posOffset>1180465</wp:posOffset>
            </wp:positionV>
            <wp:extent cx="944880" cy="813435"/>
            <wp:effectExtent l="0" t="0" r="0" b="0"/>
            <wp:wrapNone/>
            <wp:docPr id="588891043" name="Picture 6" descr="A black background with blue text and a doo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891043" name="Picture 6" descr="A black background with blue text and a door&#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44880" cy="813435"/>
                    </a:xfrm>
                    <a:prstGeom prst="rect">
                      <a:avLst/>
                    </a:prstGeom>
                  </pic:spPr>
                </pic:pic>
              </a:graphicData>
            </a:graphic>
            <wp14:sizeRelH relativeFrom="page">
              <wp14:pctWidth>0</wp14:pctWidth>
            </wp14:sizeRelH>
            <wp14:sizeRelV relativeFrom="page">
              <wp14:pctHeight>0</wp14:pctHeight>
            </wp14:sizeRelV>
          </wp:anchor>
        </w:drawing>
      </w:r>
      <w:r w:rsidR="00705F89">
        <w:rPr>
          <w:noProof/>
        </w:rPr>
        <w:drawing>
          <wp:anchor distT="0" distB="0" distL="114300" distR="114300" simplePos="0" relativeHeight="251697152" behindDoc="0" locked="0" layoutInCell="1" allowOverlap="1" wp14:anchorId="6903A29D" wp14:editId="47A69891">
            <wp:simplePos x="0" y="0"/>
            <wp:positionH relativeFrom="column">
              <wp:posOffset>1130300</wp:posOffset>
            </wp:positionH>
            <wp:positionV relativeFrom="paragraph">
              <wp:posOffset>2272030</wp:posOffset>
            </wp:positionV>
            <wp:extent cx="1224280" cy="462915"/>
            <wp:effectExtent l="0" t="0" r="0" b="0"/>
            <wp:wrapNone/>
            <wp:docPr id="1424342518" name="Picture 8" descr="A blue rectangular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342518" name="Picture 8" descr="A blue rectangular sign with white text&#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224280" cy="462915"/>
                    </a:xfrm>
                    <a:prstGeom prst="rect">
                      <a:avLst/>
                    </a:prstGeom>
                  </pic:spPr>
                </pic:pic>
              </a:graphicData>
            </a:graphic>
            <wp14:sizeRelH relativeFrom="page">
              <wp14:pctWidth>0</wp14:pctWidth>
            </wp14:sizeRelH>
            <wp14:sizeRelV relativeFrom="page">
              <wp14:pctHeight>0</wp14:pctHeight>
            </wp14:sizeRelV>
          </wp:anchor>
        </w:drawing>
      </w:r>
      <w:r w:rsidR="00705F89">
        <w:rPr>
          <w:noProof/>
        </w:rPr>
        <w:drawing>
          <wp:anchor distT="0" distB="0" distL="114300" distR="114300" simplePos="0" relativeHeight="251701248" behindDoc="0" locked="0" layoutInCell="1" allowOverlap="1" wp14:anchorId="52013A1B" wp14:editId="3EFBA927">
            <wp:simplePos x="0" y="0"/>
            <wp:positionH relativeFrom="column">
              <wp:posOffset>4325620</wp:posOffset>
            </wp:positionH>
            <wp:positionV relativeFrom="paragraph">
              <wp:posOffset>2263775</wp:posOffset>
            </wp:positionV>
            <wp:extent cx="1226185" cy="445770"/>
            <wp:effectExtent l="0" t="0" r="5715" b="0"/>
            <wp:wrapNone/>
            <wp:docPr id="14077901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79016" name="Picture 140779016"/>
                    <pic:cNvPicPr/>
                  </pic:nvPicPr>
                  <pic:blipFill>
                    <a:blip r:embed="rId15">
                      <a:extLst>
                        <a:ext uri="{28A0092B-C50C-407E-A947-70E740481C1C}">
                          <a14:useLocalDpi xmlns:a14="http://schemas.microsoft.com/office/drawing/2010/main" val="0"/>
                        </a:ext>
                      </a:extLst>
                    </a:blip>
                    <a:stretch>
                      <a:fillRect/>
                    </a:stretch>
                  </pic:blipFill>
                  <pic:spPr>
                    <a:xfrm>
                      <a:off x="0" y="0"/>
                      <a:ext cx="1226185" cy="445770"/>
                    </a:xfrm>
                    <a:prstGeom prst="rect">
                      <a:avLst/>
                    </a:prstGeom>
                  </pic:spPr>
                </pic:pic>
              </a:graphicData>
            </a:graphic>
            <wp14:sizeRelH relativeFrom="page">
              <wp14:pctWidth>0</wp14:pctWidth>
            </wp14:sizeRelH>
            <wp14:sizeRelV relativeFrom="page">
              <wp14:pctHeight>0</wp14:pctHeight>
            </wp14:sizeRelV>
          </wp:anchor>
        </w:drawing>
      </w:r>
      <w:r w:rsidR="00705F89">
        <w:rPr>
          <w:noProof/>
        </w:rPr>
        <w:drawing>
          <wp:anchor distT="0" distB="0" distL="114300" distR="114300" simplePos="0" relativeHeight="251688960" behindDoc="0" locked="0" layoutInCell="1" allowOverlap="1" wp14:anchorId="2AB790C6" wp14:editId="34CA99E2">
            <wp:simplePos x="0" y="0"/>
            <wp:positionH relativeFrom="column">
              <wp:posOffset>1132840</wp:posOffset>
            </wp:positionH>
            <wp:positionV relativeFrom="paragraph">
              <wp:posOffset>930275</wp:posOffset>
            </wp:positionV>
            <wp:extent cx="1367155" cy="398780"/>
            <wp:effectExtent l="0" t="0" r="4445" b="0"/>
            <wp:wrapNone/>
            <wp:docPr id="1937384311" name="Picture 4" descr="A blue letter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384311" name="Picture 4" descr="A blue letter on a white background&#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367155" cy="398780"/>
                    </a:xfrm>
                    <a:prstGeom prst="rect">
                      <a:avLst/>
                    </a:prstGeom>
                  </pic:spPr>
                </pic:pic>
              </a:graphicData>
            </a:graphic>
            <wp14:sizeRelH relativeFrom="page">
              <wp14:pctWidth>0</wp14:pctWidth>
            </wp14:sizeRelH>
            <wp14:sizeRelV relativeFrom="page">
              <wp14:pctHeight>0</wp14:pctHeight>
            </wp14:sizeRelV>
          </wp:anchor>
        </w:drawing>
      </w:r>
      <w:r w:rsidR="00705F89">
        <w:rPr>
          <w:noProof/>
        </w:rPr>
        <w:drawing>
          <wp:anchor distT="0" distB="0" distL="114300" distR="114300" simplePos="0" relativeHeight="251699200" behindDoc="0" locked="0" layoutInCell="1" allowOverlap="1" wp14:anchorId="3C5CA835" wp14:editId="5D37C133">
            <wp:simplePos x="0" y="0"/>
            <wp:positionH relativeFrom="column">
              <wp:posOffset>2597785</wp:posOffset>
            </wp:positionH>
            <wp:positionV relativeFrom="paragraph">
              <wp:posOffset>2237740</wp:posOffset>
            </wp:positionV>
            <wp:extent cx="1536065" cy="471170"/>
            <wp:effectExtent l="0" t="0" r="635" b="0"/>
            <wp:wrapNone/>
            <wp:docPr id="1028396394" name="Picture 9" descr="A close up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396394" name="Picture 9" descr="A close up of a sign&#10;&#10;AI-generated content may be incorrect."/>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536065" cy="471170"/>
                    </a:xfrm>
                    <a:prstGeom prst="rect">
                      <a:avLst/>
                    </a:prstGeom>
                  </pic:spPr>
                </pic:pic>
              </a:graphicData>
            </a:graphic>
            <wp14:sizeRelH relativeFrom="page">
              <wp14:pctWidth>0</wp14:pctWidth>
            </wp14:sizeRelH>
            <wp14:sizeRelV relativeFrom="page">
              <wp14:pctHeight>0</wp14:pctHeight>
            </wp14:sizeRelV>
          </wp:anchor>
        </w:drawing>
      </w:r>
      <w:r w:rsidR="00705F89">
        <w:rPr>
          <w:noProof/>
        </w:rPr>
        <w:drawing>
          <wp:anchor distT="0" distB="0" distL="114300" distR="114300" simplePos="0" relativeHeight="251691008" behindDoc="0" locked="0" layoutInCell="1" allowOverlap="1" wp14:anchorId="6986B2AA" wp14:editId="5B7E4E83">
            <wp:simplePos x="0" y="0"/>
            <wp:positionH relativeFrom="column">
              <wp:posOffset>1130300</wp:posOffset>
            </wp:positionH>
            <wp:positionV relativeFrom="paragraph">
              <wp:posOffset>1580515</wp:posOffset>
            </wp:positionV>
            <wp:extent cx="1467485" cy="411480"/>
            <wp:effectExtent l="0" t="0" r="5715" b="0"/>
            <wp:wrapNone/>
            <wp:docPr id="721272789" name="Picture 5"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272789" name="Picture 5" descr="A black and white logo&#10;&#10;AI-generated content may be incorrect."/>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467485" cy="411480"/>
                    </a:xfrm>
                    <a:prstGeom prst="rect">
                      <a:avLst/>
                    </a:prstGeom>
                  </pic:spPr>
                </pic:pic>
              </a:graphicData>
            </a:graphic>
            <wp14:sizeRelH relativeFrom="page">
              <wp14:pctWidth>0</wp14:pctWidth>
            </wp14:sizeRelH>
            <wp14:sizeRelV relativeFrom="page">
              <wp14:pctHeight>0</wp14:pctHeight>
            </wp14:sizeRelV>
          </wp:anchor>
        </w:drawing>
      </w:r>
    </w:p>
    <w:p w14:paraId="5F933F18" w14:textId="0F25A46F" w:rsidR="00795C29" w:rsidRDefault="00795C29" w:rsidP="004D665C">
      <w:pPr>
        <w:pStyle w:val="Heading2"/>
        <w:spacing w:line="240" w:lineRule="auto"/>
      </w:pPr>
    </w:p>
    <w:p w14:paraId="25D5F634" w14:textId="19F97BD9" w:rsidR="00795C29" w:rsidRDefault="00795C29" w:rsidP="004D665C">
      <w:pPr>
        <w:pStyle w:val="Heading2"/>
        <w:spacing w:line="240" w:lineRule="auto"/>
      </w:pPr>
    </w:p>
    <w:p w14:paraId="2209F35C" w14:textId="2A50B9D4" w:rsidR="00481938" w:rsidRDefault="00987142" w:rsidP="004D665C">
      <w:pPr>
        <w:pStyle w:val="Heading2"/>
        <w:spacing w:line="240" w:lineRule="auto"/>
      </w:pPr>
      <w:r>
        <w:t xml:space="preserve"> </w:t>
      </w:r>
    </w:p>
    <w:p w14:paraId="3FAB8808" w14:textId="36CA2E83" w:rsidR="009636F1" w:rsidRPr="00481938" w:rsidRDefault="00D266B3" w:rsidP="004D665C">
      <w:pPr>
        <w:spacing w:line="240" w:lineRule="auto"/>
      </w:pPr>
      <w:r>
        <w:br/>
      </w:r>
      <w:r>
        <w:br/>
      </w:r>
      <w:r>
        <w:br/>
      </w:r>
      <w:r>
        <w:br/>
      </w:r>
      <w:r>
        <w:br/>
      </w:r>
      <w:r>
        <w:br/>
      </w:r>
      <w:r>
        <w:br/>
      </w:r>
      <w:r>
        <w:br/>
      </w:r>
      <w:r w:rsidR="00234534">
        <w:rPr>
          <w:noProof/>
        </w:rPr>
        <w:drawing>
          <wp:anchor distT="0" distB="0" distL="114300" distR="114300" simplePos="0" relativeHeight="251695104" behindDoc="0" locked="0" layoutInCell="1" allowOverlap="1" wp14:anchorId="7D68350F" wp14:editId="136292CE">
            <wp:simplePos x="0" y="0"/>
            <wp:positionH relativeFrom="column">
              <wp:posOffset>4325620</wp:posOffset>
            </wp:positionH>
            <wp:positionV relativeFrom="paragraph">
              <wp:posOffset>308109</wp:posOffset>
            </wp:positionV>
            <wp:extent cx="1177925" cy="628650"/>
            <wp:effectExtent l="0" t="0" r="3175" b="6350"/>
            <wp:wrapNone/>
            <wp:docPr id="274209538" name="Picture 7"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209538" name="Picture 7" descr="A blue and white logo&#10;&#10;AI-generated content may be incorrect."/>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177925" cy="628650"/>
                    </a:xfrm>
                    <a:prstGeom prst="rect">
                      <a:avLst/>
                    </a:prstGeom>
                  </pic:spPr>
                </pic:pic>
              </a:graphicData>
            </a:graphic>
            <wp14:sizeRelH relativeFrom="page">
              <wp14:pctWidth>0</wp14:pctWidth>
            </wp14:sizeRelH>
            <wp14:sizeRelV relativeFrom="page">
              <wp14:pctHeight>0</wp14:pctHeight>
            </wp14:sizeRelV>
          </wp:anchor>
        </w:drawing>
      </w:r>
    </w:p>
    <w:sectPr w:rsidR="009636F1" w:rsidRPr="00481938" w:rsidSect="00954D43">
      <w:headerReference w:type="default" r:id="rId20"/>
      <w:footerReference w:type="even" r:id="rId21"/>
      <w:footerReference w:type="default" r:id="rId22"/>
      <w:endnotePr>
        <w:numFmt w:val="decimal"/>
      </w:endnotePr>
      <w:pgSz w:w="11906" w:h="16838"/>
      <w:pgMar w:top="870" w:right="1252" w:bottom="1503" w:left="1156" w:header="708" w:footer="8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B64E51" w14:textId="77777777" w:rsidR="00A3048A" w:rsidRDefault="00A3048A" w:rsidP="003C744C">
      <w:r>
        <w:separator/>
      </w:r>
    </w:p>
  </w:endnote>
  <w:endnote w:type="continuationSeparator" w:id="0">
    <w:p w14:paraId="2BA86FE6" w14:textId="77777777" w:rsidR="00A3048A" w:rsidRDefault="00A3048A" w:rsidP="003C744C">
      <w:r>
        <w:continuationSeparator/>
      </w:r>
    </w:p>
  </w:endnote>
  <w:endnote w:id="1">
    <w:p w14:paraId="7492435E" w14:textId="0D271316" w:rsidR="00D266B3" w:rsidRPr="004D665C" w:rsidRDefault="00D266B3" w:rsidP="00736B1E">
      <w:pPr>
        <w:pStyle w:val="EndnoteText"/>
        <w:rPr>
          <w:sz w:val="16"/>
          <w:szCs w:val="16"/>
        </w:rPr>
      </w:pPr>
      <w:r w:rsidRPr="004D665C">
        <w:rPr>
          <w:rStyle w:val="EndnoteReference"/>
          <w:sz w:val="16"/>
          <w:szCs w:val="16"/>
        </w:rPr>
        <w:endnoteRef/>
      </w:r>
      <w:r w:rsidRPr="004D665C">
        <w:rPr>
          <w:sz w:val="16"/>
          <w:szCs w:val="16"/>
        </w:rPr>
        <w:t xml:space="preserve"> </w:t>
      </w:r>
      <w:r w:rsidR="00736B1E" w:rsidRPr="004D665C">
        <w:rPr>
          <w:sz w:val="16"/>
          <w:szCs w:val="16"/>
        </w:rPr>
        <w:t xml:space="preserve">United Nations Population Fund. Sexual and Reproductive Health of Young People in Asia and the Pacific. Bangkok: UNFPA, 2015. Accessed June 4, 2025. </w:t>
      </w:r>
      <w:hyperlink r:id="rId1" w:history="1">
        <w:r w:rsidR="00736B1E" w:rsidRPr="004D665C">
          <w:rPr>
            <w:rStyle w:val="Hyperlink"/>
            <w:sz w:val="16"/>
            <w:szCs w:val="16"/>
          </w:rPr>
          <w:t>https://asiapacific.unfpa.org/sites/default/files/pub-pdf/UNFPA%20SHR%20YP%20AP_2015%20for%20web-final.pdf</w:t>
        </w:r>
      </w:hyperlink>
      <w:r w:rsidR="00736B1E" w:rsidRPr="004D665C">
        <w:rPr>
          <w:sz w:val="16"/>
          <w:szCs w:val="16"/>
        </w:rPr>
        <w:t xml:space="preserve"> </w:t>
      </w:r>
    </w:p>
  </w:endnote>
  <w:endnote w:id="2">
    <w:p w14:paraId="411C245F" w14:textId="12B4E4BE" w:rsidR="00736B1E" w:rsidRPr="004D665C" w:rsidRDefault="00736B1E">
      <w:pPr>
        <w:pStyle w:val="EndnoteText"/>
        <w:rPr>
          <w:sz w:val="16"/>
          <w:szCs w:val="16"/>
        </w:rPr>
      </w:pPr>
      <w:r w:rsidRPr="004D665C">
        <w:rPr>
          <w:rStyle w:val="EndnoteReference"/>
          <w:sz w:val="16"/>
          <w:szCs w:val="16"/>
        </w:rPr>
        <w:endnoteRef/>
      </w:r>
      <w:r w:rsidRPr="004D665C">
        <w:rPr>
          <w:sz w:val="16"/>
          <w:szCs w:val="16"/>
        </w:rPr>
        <w:t xml:space="preserve"> United Nations Population Fund. Universal Health Coverage for Sexual and Reproductive Health in Asia-Pacific. Bangkok: UNFPA, 2018. Accessed June 4, 2025. </w:t>
      </w:r>
      <w:hyperlink r:id="rId2" w:history="1">
        <w:r w:rsidRPr="004D665C">
          <w:rPr>
            <w:rStyle w:val="Hyperlink"/>
            <w:sz w:val="16"/>
            <w:szCs w:val="16"/>
          </w:rPr>
          <w:t>https://asiapacific.unfpa.org/en/publications/universal-health-coverage-sexual-and-reproductive-health-asia-pacific</w:t>
        </w:r>
      </w:hyperlink>
      <w:r w:rsidRPr="004D665C">
        <w:rPr>
          <w:sz w:val="16"/>
          <w:szCs w:val="16"/>
        </w:rPr>
        <w:t xml:space="preserve"> </w:t>
      </w:r>
    </w:p>
  </w:endnote>
  <w:endnote w:id="3">
    <w:p w14:paraId="061D652F" w14:textId="227D8710" w:rsidR="00736B1E" w:rsidRDefault="00736B1E">
      <w:pPr>
        <w:pStyle w:val="EndnoteText"/>
      </w:pPr>
      <w:r w:rsidRPr="004D665C">
        <w:rPr>
          <w:rStyle w:val="EndnoteReference"/>
          <w:sz w:val="16"/>
          <w:szCs w:val="16"/>
        </w:rPr>
        <w:endnoteRef/>
      </w:r>
      <w:r w:rsidRPr="004D665C">
        <w:rPr>
          <w:sz w:val="16"/>
          <w:szCs w:val="16"/>
        </w:rPr>
        <w:t xml:space="preserve"> World Health Organization. Critical Considerations and Actions for Achieving Universal Access to Sexual and Reproductive Health in the Context of Universal Health Coverage through a Primary Health Care Approach. Geneva: World Health Organization, 2022. Accessed June 4, 2025. </w:t>
      </w:r>
      <w:hyperlink r:id="rId3" w:history="1">
        <w:r w:rsidRPr="004D665C">
          <w:rPr>
            <w:rStyle w:val="Hyperlink"/>
            <w:sz w:val="16"/>
            <w:szCs w:val="16"/>
          </w:rPr>
          <w:t>https://www.who.int/publications/i/item/9789240052659</w:t>
        </w:r>
      </w:hyperlink>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Times New Roman (Headings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01198583"/>
      <w:docPartObj>
        <w:docPartGallery w:val="Page Numbers (Bottom of Page)"/>
        <w:docPartUnique/>
      </w:docPartObj>
    </w:sdtPr>
    <w:sdtEndPr>
      <w:rPr>
        <w:rStyle w:val="PageNumber"/>
      </w:rPr>
    </w:sdtEndPr>
    <w:sdtContent>
      <w:p w14:paraId="2BAEE2F0" w14:textId="3F053F3A" w:rsidR="007D4137" w:rsidRDefault="007D4137" w:rsidP="003C744C">
        <w:pPr>
          <w:pStyle w:val="Footer"/>
          <w:rPr>
            <w:rStyle w:val="PageNumber"/>
          </w:rPr>
        </w:pPr>
        <w:r w:rsidRPr="37C4F008">
          <w:rPr>
            <w:rStyle w:val="PageNumber"/>
          </w:rPr>
          <w:fldChar w:fldCharType="begin"/>
        </w:r>
        <w:r w:rsidRPr="37C4F008">
          <w:rPr>
            <w:rStyle w:val="PageNumber"/>
          </w:rPr>
          <w:instrText xml:space="preserve"> PAGE </w:instrText>
        </w:r>
        <w:r w:rsidRPr="37C4F008">
          <w:rPr>
            <w:rStyle w:val="PageNumber"/>
          </w:rPr>
          <w:fldChar w:fldCharType="end"/>
        </w:r>
      </w:p>
    </w:sdtContent>
  </w:sdt>
  <w:p w14:paraId="3FAB5A2A" w14:textId="77777777" w:rsidR="007D4137" w:rsidRDefault="007D4137" w:rsidP="003C74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C2424C" w14:textId="16DB2A40" w:rsidR="007D4137" w:rsidRDefault="00EE220E" w:rsidP="006F0B7F">
    <w:pPr>
      <w:pStyle w:val="Footer"/>
      <w:jc w:val="right"/>
    </w:pPr>
    <w:hyperlink r:id="rId1" w:history="1">
      <w:r w:rsidRPr="0074798E">
        <w:rPr>
          <w:rStyle w:val="Hyperlink"/>
        </w:rPr>
        <w:t>www.srhrconsortium.org</w:t>
      </w:r>
    </w:hyperlink>
    <w:r w:rsidR="00776029">
      <w:t xml:space="preserve"> </w:t>
    </w:r>
    <w:r w:rsidR="00197092">
      <w:tab/>
    </w:r>
    <w:r w:rsidR="00627ADE">
      <w:tab/>
    </w:r>
    <w:r w:rsidR="00627ADE">
      <w:tab/>
    </w:r>
    <w:r w:rsidR="00197092">
      <w:fldChar w:fldCharType="begin"/>
    </w:r>
    <w:r w:rsidR="00197092">
      <w:instrText xml:space="preserve"> PAGE  \* MERGEFORMAT </w:instrText>
    </w:r>
    <w:r w:rsidR="00197092">
      <w:fldChar w:fldCharType="separate"/>
    </w:r>
    <w:r w:rsidR="00197092">
      <w:rPr>
        <w:noProof/>
      </w:rPr>
      <w:t>2</w:t>
    </w:r>
    <w:r w:rsidR="00197092">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ECB679" w14:textId="77777777" w:rsidR="00A3048A" w:rsidRDefault="00A3048A" w:rsidP="003C744C">
      <w:r>
        <w:separator/>
      </w:r>
    </w:p>
  </w:footnote>
  <w:footnote w:type="continuationSeparator" w:id="0">
    <w:p w14:paraId="6D3B2C0C" w14:textId="77777777" w:rsidR="00A3048A" w:rsidRDefault="00A3048A" w:rsidP="003C74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50FC0" w14:textId="01DA5B72" w:rsidR="00CE26D2" w:rsidRDefault="00CE26D2" w:rsidP="003C744C">
    <w:pPr>
      <w:pStyle w:val="Header"/>
    </w:pPr>
    <w:r>
      <w:rPr>
        <w:noProof/>
      </w:rPr>
      <mc:AlternateContent>
        <mc:Choice Requires="wps">
          <w:drawing>
            <wp:anchor distT="0" distB="0" distL="114300" distR="114300" simplePos="0" relativeHeight="251661312" behindDoc="0" locked="0" layoutInCell="1" allowOverlap="1" wp14:anchorId="30F2D33F" wp14:editId="1A6C08E0">
              <wp:simplePos x="0" y="0"/>
              <wp:positionH relativeFrom="column">
                <wp:posOffset>-938664</wp:posOffset>
              </wp:positionH>
              <wp:positionV relativeFrom="paragraph">
                <wp:posOffset>-474345</wp:posOffset>
              </wp:positionV>
              <wp:extent cx="1148715" cy="11089675"/>
              <wp:effectExtent l="0" t="0" r="0" b="0"/>
              <wp:wrapNone/>
              <wp:docPr id="1603818757" name="Rectangle 1"/>
              <wp:cNvGraphicFramePr/>
              <a:graphic xmlns:a="http://schemas.openxmlformats.org/drawingml/2006/main">
                <a:graphicData uri="http://schemas.microsoft.com/office/word/2010/wordprocessingShape">
                  <wps:wsp>
                    <wps:cNvSpPr/>
                    <wps:spPr>
                      <a:xfrm>
                        <a:off x="0" y="0"/>
                        <a:ext cx="1148715" cy="11089675"/>
                      </a:xfrm>
                      <a:prstGeom prst="rect">
                        <a:avLst/>
                      </a:prstGeom>
                      <a:solidFill>
                        <a:srgbClr val="1D9999">
                          <a:alpha val="74902"/>
                        </a:srgb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ect id="Rectangle 1" style="position:absolute;margin-left:-73.9pt;margin-top:-37.35pt;width:90.45pt;height:873.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1d9999" stroked="f" strokeweight="1pt" w14:anchorId="3B5B676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">
              <v:fill opacity="49087f"/>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5C64E1"/>
    <w:multiLevelType w:val="hybridMultilevel"/>
    <w:tmpl w:val="08E0DB5E"/>
    <w:lvl w:ilvl="0" w:tplc="4A2246F2">
      <w:start w:val="30"/>
      <w:numFmt w:val="bullet"/>
      <w:lvlText w:val="-"/>
      <w:lvlJc w:val="left"/>
      <w:pPr>
        <w:ind w:left="720" w:hanging="360"/>
      </w:pPr>
      <w:rPr>
        <w:rFonts w:ascii="Aptos" w:hAnsi="Aptos" w:hint="default"/>
      </w:rPr>
    </w:lvl>
    <w:lvl w:ilvl="1" w:tplc="1E4C9C92" w:tentative="1">
      <w:start w:val="1"/>
      <w:numFmt w:val="bullet"/>
      <w:lvlText w:val="o"/>
      <w:lvlJc w:val="left"/>
      <w:pPr>
        <w:ind w:left="1440" w:hanging="360"/>
      </w:pPr>
      <w:rPr>
        <w:rFonts w:ascii="Courier New" w:hAnsi="Courier New" w:hint="default"/>
      </w:rPr>
    </w:lvl>
    <w:lvl w:ilvl="2" w:tplc="0FB6373A" w:tentative="1">
      <w:start w:val="1"/>
      <w:numFmt w:val="bullet"/>
      <w:lvlText w:val=""/>
      <w:lvlJc w:val="left"/>
      <w:pPr>
        <w:ind w:left="2160" w:hanging="360"/>
      </w:pPr>
      <w:rPr>
        <w:rFonts w:ascii="Wingdings" w:hAnsi="Wingdings" w:hint="default"/>
      </w:rPr>
    </w:lvl>
    <w:lvl w:ilvl="3" w:tplc="09848490" w:tentative="1">
      <w:start w:val="1"/>
      <w:numFmt w:val="bullet"/>
      <w:lvlText w:val=""/>
      <w:lvlJc w:val="left"/>
      <w:pPr>
        <w:ind w:left="2880" w:hanging="360"/>
      </w:pPr>
      <w:rPr>
        <w:rFonts w:ascii="Symbol" w:hAnsi="Symbol" w:hint="default"/>
      </w:rPr>
    </w:lvl>
    <w:lvl w:ilvl="4" w:tplc="FA00625E" w:tentative="1">
      <w:start w:val="1"/>
      <w:numFmt w:val="bullet"/>
      <w:lvlText w:val="o"/>
      <w:lvlJc w:val="left"/>
      <w:pPr>
        <w:ind w:left="3600" w:hanging="360"/>
      </w:pPr>
      <w:rPr>
        <w:rFonts w:ascii="Courier New" w:hAnsi="Courier New" w:hint="default"/>
      </w:rPr>
    </w:lvl>
    <w:lvl w:ilvl="5" w:tplc="2C84475E" w:tentative="1">
      <w:start w:val="1"/>
      <w:numFmt w:val="bullet"/>
      <w:lvlText w:val=""/>
      <w:lvlJc w:val="left"/>
      <w:pPr>
        <w:ind w:left="4320" w:hanging="360"/>
      </w:pPr>
      <w:rPr>
        <w:rFonts w:ascii="Wingdings" w:hAnsi="Wingdings" w:hint="default"/>
      </w:rPr>
    </w:lvl>
    <w:lvl w:ilvl="6" w:tplc="78D02730" w:tentative="1">
      <w:start w:val="1"/>
      <w:numFmt w:val="bullet"/>
      <w:lvlText w:val=""/>
      <w:lvlJc w:val="left"/>
      <w:pPr>
        <w:ind w:left="5040" w:hanging="360"/>
      </w:pPr>
      <w:rPr>
        <w:rFonts w:ascii="Symbol" w:hAnsi="Symbol" w:hint="default"/>
      </w:rPr>
    </w:lvl>
    <w:lvl w:ilvl="7" w:tplc="E7A09D90" w:tentative="1">
      <w:start w:val="1"/>
      <w:numFmt w:val="bullet"/>
      <w:lvlText w:val="o"/>
      <w:lvlJc w:val="left"/>
      <w:pPr>
        <w:ind w:left="5760" w:hanging="360"/>
      </w:pPr>
      <w:rPr>
        <w:rFonts w:ascii="Courier New" w:hAnsi="Courier New" w:hint="default"/>
      </w:rPr>
    </w:lvl>
    <w:lvl w:ilvl="8" w:tplc="3C32AE66" w:tentative="1">
      <w:start w:val="1"/>
      <w:numFmt w:val="bullet"/>
      <w:lvlText w:val=""/>
      <w:lvlJc w:val="left"/>
      <w:pPr>
        <w:ind w:left="6480" w:hanging="360"/>
      </w:pPr>
      <w:rPr>
        <w:rFonts w:ascii="Wingdings" w:hAnsi="Wingdings" w:hint="default"/>
      </w:rPr>
    </w:lvl>
  </w:abstractNum>
  <w:abstractNum w:abstractNumId="1" w15:restartNumberingAfterBreak="0">
    <w:nsid w:val="179A13DA"/>
    <w:multiLevelType w:val="multilevel"/>
    <w:tmpl w:val="B0DA2FF6"/>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2" w15:restartNumberingAfterBreak="0">
    <w:nsid w:val="1AE74894"/>
    <w:multiLevelType w:val="hybridMultilevel"/>
    <w:tmpl w:val="D0E8CC98"/>
    <w:lvl w:ilvl="0" w:tplc="21E0130E">
      <w:start w:val="1"/>
      <w:numFmt w:val="bullet"/>
      <w:lvlText w:val=""/>
      <w:lvlJc w:val="left"/>
      <w:pPr>
        <w:ind w:left="720" w:hanging="360"/>
      </w:pPr>
      <w:rPr>
        <w:rFonts w:ascii="Symbol" w:hAnsi="Symbol" w:hint="default"/>
      </w:rPr>
    </w:lvl>
    <w:lvl w:ilvl="1" w:tplc="49E2E4AC" w:tentative="1">
      <w:start w:val="1"/>
      <w:numFmt w:val="bullet"/>
      <w:lvlText w:val="o"/>
      <w:lvlJc w:val="left"/>
      <w:pPr>
        <w:ind w:left="1440" w:hanging="360"/>
      </w:pPr>
      <w:rPr>
        <w:rFonts w:ascii="Courier New" w:hAnsi="Courier New" w:hint="default"/>
      </w:rPr>
    </w:lvl>
    <w:lvl w:ilvl="2" w:tplc="51886248" w:tentative="1">
      <w:start w:val="1"/>
      <w:numFmt w:val="bullet"/>
      <w:lvlText w:val=""/>
      <w:lvlJc w:val="left"/>
      <w:pPr>
        <w:ind w:left="2160" w:hanging="360"/>
      </w:pPr>
      <w:rPr>
        <w:rFonts w:ascii="Wingdings" w:hAnsi="Wingdings" w:hint="default"/>
      </w:rPr>
    </w:lvl>
    <w:lvl w:ilvl="3" w:tplc="D00621C6" w:tentative="1">
      <w:start w:val="1"/>
      <w:numFmt w:val="bullet"/>
      <w:lvlText w:val=""/>
      <w:lvlJc w:val="left"/>
      <w:pPr>
        <w:ind w:left="2880" w:hanging="360"/>
      </w:pPr>
      <w:rPr>
        <w:rFonts w:ascii="Symbol" w:hAnsi="Symbol" w:hint="default"/>
      </w:rPr>
    </w:lvl>
    <w:lvl w:ilvl="4" w:tplc="08D89D74" w:tentative="1">
      <w:start w:val="1"/>
      <w:numFmt w:val="bullet"/>
      <w:lvlText w:val="o"/>
      <w:lvlJc w:val="left"/>
      <w:pPr>
        <w:ind w:left="3600" w:hanging="360"/>
      </w:pPr>
      <w:rPr>
        <w:rFonts w:ascii="Courier New" w:hAnsi="Courier New" w:hint="default"/>
      </w:rPr>
    </w:lvl>
    <w:lvl w:ilvl="5" w:tplc="EBBE58BC" w:tentative="1">
      <w:start w:val="1"/>
      <w:numFmt w:val="bullet"/>
      <w:lvlText w:val=""/>
      <w:lvlJc w:val="left"/>
      <w:pPr>
        <w:ind w:left="4320" w:hanging="360"/>
      </w:pPr>
      <w:rPr>
        <w:rFonts w:ascii="Wingdings" w:hAnsi="Wingdings" w:hint="default"/>
      </w:rPr>
    </w:lvl>
    <w:lvl w:ilvl="6" w:tplc="B7D8498C" w:tentative="1">
      <w:start w:val="1"/>
      <w:numFmt w:val="bullet"/>
      <w:lvlText w:val=""/>
      <w:lvlJc w:val="left"/>
      <w:pPr>
        <w:ind w:left="5040" w:hanging="360"/>
      </w:pPr>
      <w:rPr>
        <w:rFonts w:ascii="Symbol" w:hAnsi="Symbol" w:hint="default"/>
      </w:rPr>
    </w:lvl>
    <w:lvl w:ilvl="7" w:tplc="EA044138" w:tentative="1">
      <w:start w:val="1"/>
      <w:numFmt w:val="bullet"/>
      <w:lvlText w:val="o"/>
      <w:lvlJc w:val="left"/>
      <w:pPr>
        <w:ind w:left="5760" w:hanging="360"/>
      </w:pPr>
      <w:rPr>
        <w:rFonts w:ascii="Courier New" w:hAnsi="Courier New" w:hint="default"/>
      </w:rPr>
    </w:lvl>
    <w:lvl w:ilvl="8" w:tplc="6130C30C" w:tentative="1">
      <w:start w:val="1"/>
      <w:numFmt w:val="bullet"/>
      <w:lvlText w:val=""/>
      <w:lvlJc w:val="left"/>
      <w:pPr>
        <w:ind w:left="6480" w:hanging="360"/>
      </w:pPr>
      <w:rPr>
        <w:rFonts w:ascii="Wingdings" w:hAnsi="Wingdings" w:hint="default"/>
      </w:rPr>
    </w:lvl>
  </w:abstractNum>
  <w:abstractNum w:abstractNumId="3" w15:restartNumberingAfterBreak="0">
    <w:nsid w:val="201756BB"/>
    <w:multiLevelType w:val="hybridMultilevel"/>
    <w:tmpl w:val="055E531E"/>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4" w15:restartNumberingAfterBreak="0">
    <w:nsid w:val="21520F07"/>
    <w:multiLevelType w:val="hybridMultilevel"/>
    <w:tmpl w:val="6B60B2C4"/>
    <w:lvl w:ilvl="0" w:tplc="8BD03138">
      <w:start w:val="1"/>
      <w:numFmt w:val="bullet"/>
      <w:lvlText w:val=""/>
      <w:lvlJc w:val="left"/>
      <w:pPr>
        <w:ind w:left="360" w:hanging="360"/>
      </w:pPr>
      <w:rPr>
        <w:rFonts w:ascii="Symbol" w:hAnsi="Symbol" w:hint="default"/>
      </w:rPr>
    </w:lvl>
    <w:lvl w:ilvl="1" w:tplc="9BC679C0" w:tentative="1">
      <w:start w:val="1"/>
      <w:numFmt w:val="bullet"/>
      <w:lvlText w:val="o"/>
      <w:lvlJc w:val="left"/>
      <w:pPr>
        <w:ind w:left="1080" w:hanging="360"/>
      </w:pPr>
      <w:rPr>
        <w:rFonts w:ascii="Courier New" w:hAnsi="Courier New" w:hint="default"/>
      </w:rPr>
    </w:lvl>
    <w:lvl w:ilvl="2" w:tplc="47F29892" w:tentative="1">
      <w:start w:val="1"/>
      <w:numFmt w:val="bullet"/>
      <w:lvlText w:val=""/>
      <w:lvlJc w:val="left"/>
      <w:pPr>
        <w:ind w:left="1800" w:hanging="360"/>
      </w:pPr>
      <w:rPr>
        <w:rFonts w:ascii="Wingdings" w:hAnsi="Wingdings" w:hint="default"/>
      </w:rPr>
    </w:lvl>
    <w:lvl w:ilvl="3" w:tplc="98F8F2E0" w:tentative="1">
      <w:start w:val="1"/>
      <w:numFmt w:val="bullet"/>
      <w:lvlText w:val=""/>
      <w:lvlJc w:val="left"/>
      <w:pPr>
        <w:ind w:left="2520" w:hanging="360"/>
      </w:pPr>
      <w:rPr>
        <w:rFonts w:ascii="Symbol" w:hAnsi="Symbol" w:hint="default"/>
      </w:rPr>
    </w:lvl>
    <w:lvl w:ilvl="4" w:tplc="149CEE58" w:tentative="1">
      <w:start w:val="1"/>
      <w:numFmt w:val="bullet"/>
      <w:lvlText w:val="o"/>
      <w:lvlJc w:val="left"/>
      <w:pPr>
        <w:ind w:left="3240" w:hanging="360"/>
      </w:pPr>
      <w:rPr>
        <w:rFonts w:ascii="Courier New" w:hAnsi="Courier New" w:hint="default"/>
      </w:rPr>
    </w:lvl>
    <w:lvl w:ilvl="5" w:tplc="33CC9D8A" w:tentative="1">
      <w:start w:val="1"/>
      <w:numFmt w:val="bullet"/>
      <w:lvlText w:val=""/>
      <w:lvlJc w:val="left"/>
      <w:pPr>
        <w:ind w:left="3960" w:hanging="360"/>
      </w:pPr>
      <w:rPr>
        <w:rFonts w:ascii="Wingdings" w:hAnsi="Wingdings" w:hint="default"/>
      </w:rPr>
    </w:lvl>
    <w:lvl w:ilvl="6" w:tplc="4F0ABBDC" w:tentative="1">
      <w:start w:val="1"/>
      <w:numFmt w:val="bullet"/>
      <w:lvlText w:val=""/>
      <w:lvlJc w:val="left"/>
      <w:pPr>
        <w:ind w:left="4680" w:hanging="360"/>
      </w:pPr>
      <w:rPr>
        <w:rFonts w:ascii="Symbol" w:hAnsi="Symbol" w:hint="default"/>
      </w:rPr>
    </w:lvl>
    <w:lvl w:ilvl="7" w:tplc="73E6D9CA" w:tentative="1">
      <w:start w:val="1"/>
      <w:numFmt w:val="bullet"/>
      <w:lvlText w:val="o"/>
      <w:lvlJc w:val="left"/>
      <w:pPr>
        <w:ind w:left="5400" w:hanging="360"/>
      </w:pPr>
      <w:rPr>
        <w:rFonts w:ascii="Courier New" w:hAnsi="Courier New" w:hint="default"/>
      </w:rPr>
    </w:lvl>
    <w:lvl w:ilvl="8" w:tplc="A84E6B52" w:tentative="1">
      <w:start w:val="1"/>
      <w:numFmt w:val="bullet"/>
      <w:lvlText w:val=""/>
      <w:lvlJc w:val="left"/>
      <w:pPr>
        <w:ind w:left="6120" w:hanging="360"/>
      </w:pPr>
      <w:rPr>
        <w:rFonts w:ascii="Wingdings" w:hAnsi="Wingdings" w:hint="default"/>
      </w:rPr>
    </w:lvl>
  </w:abstractNum>
  <w:abstractNum w:abstractNumId="5" w15:restartNumberingAfterBreak="0">
    <w:nsid w:val="22E42F79"/>
    <w:multiLevelType w:val="multilevel"/>
    <w:tmpl w:val="DE02A8F0"/>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6" w15:restartNumberingAfterBreak="0">
    <w:nsid w:val="29932DD9"/>
    <w:multiLevelType w:val="hybridMultilevel"/>
    <w:tmpl w:val="1DD4B10C"/>
    <w:lvl w:ilvl="0" w:tplc="0C090001">
      <w:start w:val="1"/>
      <w:numFmt w:val="bullet"/>
      <w:lvlText w:val=""/>
      <w:lvlJc w:val="left"/>
      <w:pPr>
        <w:ind w:left="2138" w:hanging="360"/>
      </w:pPr>
      <w:rPr>
        <w:rFonts w:ascii="Symbol" w:hAnsi="Symbol" w:hint="default"/>
      </w:rPr>
    </w:lvl>
    <w:lvl w:ilvl="1" w:tplc="0C090003" w:tentative="1">
      <w:start w:val="1"/>
      <w:numFmt w:val="bullet"/>
      <w:lvlText w:val="o"/>
      <w:lvlJc w:val="left"/>
      <w:pPr>
        <w:ind w:left="2858" w:hanging="360"/>
      </w:pPr>
      <w:rPr>
        <w:rFonts w:ascii="Courier New" w:hAnsi="Courier New" w:cs="Courier New" w:hint="default"/>
      </w:rPr>
    </w:lvl>
    <w:lvl w:ilvl="2" w:tplc="0C090005" w:tentative="1">
      <w:start w:val="1"/>
      <w:numFmt w:val="bullet"/>
      <w:lvlText w:val=""/>
      <w:lvlJc w:val="left"/>
      <w:pPr>
        <w:ind w:left="3578" w:hanging="360"/>
      </w:pPr>
      <w:rPr>
        <w:rFonts w:ascii="Wingdings" w:hAnsi="Wingdings" w:hint="default"/>
      </w:rPr>
    </w:lvl>
    <w:lvl w:ilvl="3" w:tplc="0C090001" w:tentative="1">
      <w:start w:val="1"/>
      <w:numFmt w:val="bullet"/>
      <w:lvlText w:val=""/>
      <w:lvlJc w:val="left"/>
      <w:pPr>
        <w:ind w:left="4298" w:hanging="360"/>
      </w:pPr>
      <w:rPr>
        <w:rFonts w:ascii="Symbol" w:hAnsi="Symbol" w:hint="default"/>
      </w:rPr>
    </w:lvl>
    <w:lvl w:ilvl="4" w:tplc="0C090003" w:tentative="1">
      <w:start w:val="1"/>
      <w:numFmt w:val="bullet"/>
      <w:lvlText w:val="o"/>
      <w:lvlJc w:val="left"/>
      <w:pPr>
        <w:ind w:left="5018" w:hanging="360"/>
      </w:pPr>
      <w:rPr>
        <w:rFonts w:ascii="Courier New" w:hAnsi="Courier New" w:cs="Courier New" w:hint="default"/>
      </w:rPr>
    </w:lvl>
    <w:lvl w:ilvl="5" w:tplc="0C090005" w:tentative="1">
      <w:start w:val="1"/>
      <w:numFmt w:val="bullet"/>
      <w:lvlText w:val=""/>
      <w:lvlJc w:val="left"/>
      <w:pPr>
        <w:ind w:left="5738" w:hanging="360"/>
      </w:pPr>
      <w:rPr>
        <w:rFonts w:ascii="Wingdings" w:hAnsi="Wingdings" w:hint="default"/>
      </w:rPr>
    </w:lvl>
    <w:lvl w:ilvl="6" w:tplc="0C090001" w:tentative="1">
      <w:start w:val="1"/>
      <w:numFmt w:val="bullet"/>
      <w:lvlText w:val=""/>
      <w:lvlJc w:val="left"/>
      <w:pPr>
        <w:ind w:left="6458" w:hanging="360"/>
      </w:pPr>
      <w:rPr>
        <w:rFonts w:ascii="Symbol" w:hAnsi="Symbol" w:hint="default"/>
      </w:rPr>
    </w:lvl>
    <w:lvl w:ilvl="7" w:tplc="0C090003" w:tentative="1">
      <w:start w:val="1"/>
      <w:numFmt w:val="bullet"/>
      <w:lvlText w:val="o"/>
      <w:lvlJc w:val="left"/>
      <w:pPr>
        <w:ind w:left="7178" w:hanging="360"/>
      </w:pPr>
      <w:rPr>
        <w:rFonts w:ascii="Courier New" w:hAnsi="Courier New" w:cs="Courier New" w:hint="default"/>
      </w:rPr>
    </w:lvl>
    <w:lvl w:ilvl="8" w:tplc="0C090005" w:tentative="1">
      <w:start w:val="1"/>
      <w:numFmt w:val="bullet"/>
      <w:lvlText w:val=""/>
      <w:lvlJc w:val="left"/>
      <w:pPr>
        <w:ind w:left="7898" w:hanging="360"/>
      </w:pPr>
      <w:rPr>
        <w:rFonts w:ascii="Wingdings" w:hAnsi="Wingdings" w:hint="default"/>
      </w:rPr>
    </w:lvl>
  </w:abstractNum>
  <w:abstractNum w:abstractNumId="7" w15:restartNumberingAfterBreak="0">
    <w:nsid w:val="2BAA4373"/>
    <w:multiLevelType w:val="hybridMultilevel"/>
    <w:tmpl w:val="860605B2"/>
    <w:lvl w:ilvl="0" w:tplc="ED3CC8D0">
      <w:start w:val="1"/>
      <w:numFmt w:val="decimal"/>
      <w:lvlText w:val="%1."/>
      <w:lvlJc w:val="left"/>
      <w:pPr>
        <w:ind w:left="720" w:hanging="360"/>
      </w:pPr>
    </w:lvl>
    <w:lvl w:ilvl="1" w:tplc="492ED368" w:tentative="1">
      <w:start w:val="1"/>
      <w:numFmt w:val="lowerLetter"/>
      <w:lvlText w:val="%2."/>
      <w:lvlJc w:val="left"/>
      <w:pPr>
        <w:ind w:left="1440" w:hanging="360"/>
      </w:pPr>
    </w:lvl>
    <w:lvl w:ilvl="2" w:tplc="C80E384C" w:tentative="1">
      <w:start w:val="1"/>
      <w:numFmt w:val="lowerRoman"/>
      <w:lvlText w:val="%3."/>
      <w:lvlJc w:val="right"/>
      <w:pPr>
        <w:ind w:left="2160" w:hanging="180"/>
      </w:pPr>
    </w:lvl>
    <w:lvl w:ilvl="3" w:tplc="45E25704" w:tentative="1">
      <w:start w:val="1"/>
      <w:numFmt w:val="decimal"/>
      <w:lvlText w:val="%4."/>
      <w:lvlJc w:val="left"/>
      <w:pPr>
        <w:ind w:left="2880" w:hanging="360"/>
      </w:pPr>
    </w:lvl>
    <w:lvl w:ilvl="4" w:tplc="C0609B08" w:tentative="1">
      <w:start w:val="1"/>
      <w:numFmt w:val="lowerLetter"/>
      <w:lvlText w:val="%5."/>
      <w:lvlJc w:val="left"/>
      <w:pPr>
        <w:ind w:left="3600" w:hanging="360"/>
      </w:pPr>
    </w:lvl>
    <w:lvl w:ilvl="5" w:tplc="1D246AF0" w:tentative="1">
      <w:start w:val="1"/>
      <w:numFmt w:val="lowerRoman"/>
      <w:lvlText w:val="%6."/>
      <w:lvlJc w:val="right"/>
      <w:pPr>
        <w:ind w:left="4320" w:hanging="180"/>
      </w:pPr>
    </w:lvl>
    <w:lvl w:ilvl="6" w:tplc="FCE6920E" w:tentative="1">
      <w:start w:val="1"/>
      <w:numFmt w:val="decimal"/>
      <w:lvlText w:val="%7."/>
      <w:lvlJc w:val="left"/>
      <w:pPr>
        <w:ind w:left="5040" w:hanging="360"/>
      </w:pPr>
    </w:lvl>
    <w:lvl w:ilvl="7" w:tplc="BFBC157C" w:tentative="1">
      <w:start w:val="1"/>
      <w:numFmt w:val="lowerLetter"/>
      <w:lvlText w:val="%8."/>
      <w:lvlJc w:val="left"/>
      <w:pPr>
        <w:ind w:left="5760" w:hanging="360"/>
      </w:pPr>
    </w:lvl>
    <w:lvl w:ilvl="8" w:tplc="B0F06AF4" w:tentative="1">
      <w:start w:val="1"/>
      <w:numFmt w:val="lowerRoman"/>
      <w:lvlText w:val="%9."/>
      <w:lvlJc w:val="right"/>
      <w:pPr>
        <w:ind w:left="6480" w:hanging="180"/>
      </w:pPr>
    </w:lvl>
  </w:abstractNum>
  <w:abstractNum w:abstractNumId="8" w15:restartNumberingAfterBreak="0">
    <w:nsid w:val="2DC17CCF"/>
    <w:multiLevelType w:val="hybridMultilevel"/>
    <w:tmpl w:val="AE209E5E"/>
    <w:lvl w:ilvl="0" w:tplc="CB040214">
      <w:start w:val="1"/>
      <w:numFmt w:val="bullet"/>
      <w:lvlText w:val=""/>
      <w:lvlJc w:val="left"/>
      <w:pPr>
        <w:ind w:left="720" w:hanging="360"/>
      </w:pPr>
      <w:rPr>
        <w:rFonts w:ascii="Symbol" w:hAnsi="Symbol" w:hint="default"/>
      </w:rPr>
    </w:lvl>
    <w:lvl w:ilvl="1" w:tplc="3C9A2F92" w:tentative="1">
      <w:start w:val="1"/>
      <w:numFmt w:val="bullet"/>
      <w:lvlText w:val="o"/>
      <w:lvlJc w:val="left"/>
      <w:pPr>
        <w:ind w:left="1440" w:hanging="360"/>
      </w:pPr>
      <w:rPr>
        <w:rFonts w:ascii="Courier New" w:hAnsi="Courier New" w:hint="default"/>
      </w:rPr>
    </w:lvl>
    <w:lvl w:ilvl="2" w:tplc="3B52375A" w:tentative="1">
      <w:start w:val="1"/>
      <w:numFmt w:val="bullet"/>
      <w:lvlText w:val=""/>
      <w:lvlJc w:val="left"/>
      <w:pPr>
        <w:ind w:left="2160" w:hanging="360"/>
      </w:pPr>
      <w:rPr>
        <w:rFonts w:ascii="Wingdings" w:hAnsi="Wingdings" w:hint="default"/>
      </w:rPr>
    </w:lvl>
    <w:lvl w:ilvl="3" w:tplc="F72C090E" w:tentative="1">
      <w:start w:val="1"/>
      <w:numFmt w:val="bullet"/>
      <w:lvlText w:val=""/>
      <w:lvlJc w:val="left"/>
      <w:pPr>
        <w:ind w:left="2880" w:hanging="360"/>
      </w:pPr>
      <w:rPr>
        <w:rFonts w:ascii="Symbol" w:hAnsi="Symbol" w:hint="default"/>
      </w:rPr>
    </w:lvl>
    <w:lvl w:ilvl="4" w:tplc="D7345E58" w:tentative="1">
      <w:start w:val="1"/>
      <w:numFmt w:val="bullet"/>
      <w:lvlText w:val="o"/>
      <w:lvlJc w:val="left"/>
      <w:pPr>
        <w:ind w:left="3600" w:hanging="360"/>
      </w:pPr>
      <w:rPr>
        <w:rFonts w:ascii="Courier New" w:hAnsi="Courier New" w:hint="default"/>
      </w:rPr>
    </w:lvl>
    <w:lvl w:ilvl="5" w:tplc="C8168AB6" w:tentative="1">
      <w:start w:val="1"/>
      <w:numFmt w:val="bullet"/>
      <w:lvlText w:val=""/>
      <w:lvlJc w:val="left"/>
      <w:pPr>
        <w:ind w:left="4320" w:hanging="360"/>
      </w:pPr>
      <w:rPr>
        <w:rFonts w:ascii="Wingdings" w:hAnsi="Wingdings" w:hint="default"/>
      </w:rPr>
    </w:lvl>
    <w:lvl w:ilvl="6" w:tplc="0546AD9C" w:tentative="1">
      <w:start w:val="1"/>
      <w:numFmt w:val="bullet"/>
      <w:lvlText w:val=""/>
      <w:lvlJc w:val="left"/>
      <w:pPr>
        <w:ind w:left="5040" w:hanging="360"/>
      </w:pPr>
      <w:rPr>
        <w:rFonts w:ascii="Symbol" w:hAnsi="Symbol" w:hint="default"/>
      </w:rPr>
    </w:lvl>
    <w:lvl w:ilvl="7" w:tplc="AFCA6F7A" w:tentative="1">
      <w:start w:val="1"/>
      <w:numFmt w:val="bullet"/>
      <w:lvlText w:val="o"/>
      <w:lvlJc w:val="left"/>
      <w:pPr>
        <w:ind w:left="5760" w:hanging="360"/>
      </w:pPr>
      <w:rPr>
        <w:rFonts w:ascii="Courier New" w:hAnsi="Courier New" w:hint="default"/>
      </w:rPr>
    </w:lvl>
    <w:lvl w:ilvl="8" w:tplc="2EA4CEFE" w:tentative="1">
      <w:start w:val="1"/>
      <w:numFmt w:val="bullet"/>
      <w:lvlText w:val=""/>
      <w:lvlJc w:val="left"/>
      <w:pPr>
        <w:ind w:left="6480" w:hanging="360"/>
      </w:pPr>
      <w:rPr>
        <w:rFonts w:ascii="Wingdings" w:hAnsi="Wingdings" w:hint="default"/>
      </w:rPr>
    </w:lvl>
  </w:abstractNum>
  <w:abstractNum w:abstractNumId="9" w15:restartNumberingAfterBreak="0">
    <w:nsid w:val="30F90C3E"/>
    <w:multiLevelType w:val="hybridMultilevel"/>
    <w:tmpl w:val="8C587CA2"/>
    <w:lvl w:ilvl="0" w:tplc="E098E70A">
      <w:start w:val="1"/>
      <w:numFmt w:val="bullet"/>
      <w:lvlText w:val=""/>
      <w:lvlJc w:val="left"/>
      <w:pPr>
        <w:ind w:left="720" w:hanging="360"/>
      </w:pPr>
      <w:rPr>
        <w:rFonts w:ascii="Symbol" w:hAnsi="Symbol" w:hint="default"/>
      </w:rPr>
    </w:lvl>
    <w:lvl w:ilvl="1" w:tplc="EBC480AC" w:tentative="1">
      <w:start w:val="1"/>
      <w:numFmt w:val="bullet"/>
      <w:lvlText w:val="o"/>
      <w:lvlJc w:val="left"/>
      <w:pPr>
        <w:ind w:left="1440" w:hanging="360"/>
      </w:pPr>
      <w:rPr>
        <w:rFonts w:ascii="Courier New" w:hAnsi="Courier New" w:hint="default"/>
      </w:rPr>
    </w:lvl>
    <w:lvl w:ilvl="2" w:tplc="DC344D36" w:tentative="1">
      <w:start w:val="1"/>
      <w:numFmt w:val="bullet"/>
      <w:lvlText w:val=""/>
      <w:lvlJc w:val="left"/>
      <w:pPr>
        <w:ind w:left="2160" w:hanging="360"/>
      </w:pPr>
      <w:rPr>
        <w:rFonts w:ascii="Wingdings" w:hAnsi="Wingdings" w:hint="default"/>
      </w:rPr>
    </w:lvl>
    <w:lvl w:ilvl="3" w:tplc="A5F89CE4" w:tentative="1">
      <w:start w:val="1"/>
      <w:numFmt w:val="bullet"/>
      <w:lvlText w:val=""/>
      <w:lvlJc w:val="left"/>
      <w:pPr>
        <w:ind w:left="2880" w:hanging="360"/>
      </w:pPr>
      <w:rPr>
        <w:rFonts w:ascii="Symbol" w:hAnsi="Symbol" w:hint="default"/>
      </w:rPr>
    </w:lvl>
    <w:lvl w:ilvl="4" w:tplc="85C2013A" w:tentative="1">
      <w:start w:val="1"/>
      <w:numFmt w:val="bullet"/>
      <w:lvlText w:val="o"/>
      <w:lvlJc w:val="left"/>
      <w:pPr>
        <w:ind w:left="3600" w:hanging="360"/>
      </w:pPr>
      <w:rPr>
        <w:rFonts w:ascii="Courier New" w:hAnsi="Courier New" w:hint="default"/>
      </w:rPr>
    </w:lvl>
    <w:lvl w:ilvl="5" w:tplc="8098BE6E" w:tentative="1">
      <w:start w:val="1"/>
      <w:numFmt w:val="bullet"/>
      <w:lvlText w:val=""/>
      <w:lvlJc w:val="left"/>
      <w:pPr>
        <w:ind w:left="4320" w:hanging="360"/>
      </w:pPr>
      <w:rPr>
        <w:rFonts w:ascii="Wingdings" w:hAnsi="Wingdings" w:hint="default"/>
      </w:rPr>
    </w:lvl>
    <w:lvl w:ilvl="6" w:tplc="F5742F58" w:tentative="1">
      <w:start w:val="1"/>
      <w:numFmt w:val="bullet"/>
      <w:lvlText w:val=""/>
      <w:lvlJc w:val="left"/>
      <w:pPr>
        <w:ind w:left="5040" w:hanging="360"/>
      </w:pPr>
      <w:rPr>
        <w:rFonts w:ascii="Symbol" w:hAnsi="Symbol" w:hint="default"/>
      </w:rPr>
    </w:lvl>
    <w:lvl w:ilvl="7" w:tplc="9EA839DE" w:tentative="1">
      <w:start w:val="1"/>
      <w:numFmt w:val="bullet"/>
      <w:lvlText w:val="o"/>
      <w:lvlJc w:val="left"/>
      <w:pPr>
        <w:ind w:left="5760" w:hanging="360"/>
      </w:pPr>
      <w:rPr>
        <w:rFonts w:ascii="Courier New" w:hAnsi="Courier New" w:hint="default"/>
      </w:rPr>
    </w:lvl>
    <w:lvl w:ilvl="8" w:tplc="8152ACB4" w:tentative="1">
      <w:start w:val="1"/>
      <w:numFmt w:val="bullet"/>
      <w:lvlText w:val=""/>
      <w:lvlJc w:val="left"/>
      <w:pPr>
        <w:ind w:left="6480" w:hanging="360"/>
      </w:pPr>
      <w:rPr>
        <w:rFonts w:ascii="Wingdings" w:hAnsi="Wingdings" w:hint="default"/>
      </w:rPr>
    </w:lvl>
  </w:abstractNum>
  <w:abstractNum w:abstractNumId="10" w15:restartNumberingAfterBreak="0">
    <w:nsid w:val="389A3E49"/>
    <w:multiLevelType w:val="hybridMultilevel"/>
    <w:tmpl w:val="84E0F8F6"/>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1" w15:restartNumberingAfterBreak="0">
    <w:nsid w:val="3DBA4B01"/>
    <w:multiLevelType w:val="hybridMultilevel"/>
    <w:tmpl w:val="6E6451BC"/>
    <w:lvl w:ilvl="0" w:tplc="08090001">
      <w:start w:val="1"/>
      <w:numFmt w:val="bullet"/>
      <w:lvlText w:val=""/>
      <w:lvlJc w:val="left"/>
      <w:pPr>
        <w:ind w:left="2061" w:hanging="360"/>
      </w:pPr>
      <w:rPr>
        <w:rFonts w:ascii="Symbol" w:hAnsi="Symbol" w:hint="default"/>
      </w:rPr>
    </w:lvl>
    <w:lvl w:ilvl="1" w:tplc="08090003" w:tentative="1">
      <w:start w:val="1"/>
      <w:numFmt w:val="bullet"/>
      <w:lvlText w:val="o"/>
      <w:lvlJc w:val="left"/>
      <w:pPr>
        <w:ind w:left="2781" w:hanging="360"/>
      </w:pPr>
      <w:rPr>
        <w:rFonts w:ascii="Courier New" w:hAnsi="Courier New" w:cs="Courier New" w:hint="default"/>
      </w:rPr>
    </w:lvl>
    <w:lvl w:ilvl="2" w:tplc="08090005" w:tentative="1">
      <w:start w:val="1"/>
      <w:numFmt w:val="bullet"/>
      <w:lvlText w:val=""/>
      <w:lvlJc w:val="left"/>
      <w:pPr>
        <w:ind w:left="3501" w:hanging="360"/>
      </w:pPr>
      <w:rPr>
        <w:rFonts w:ascii="Wingdings" w:hAnsi="Wingdings" w:hint="default"/>
      </w:rPr>
    </w:lvl>
    <w:lvl w:ilvl="3" w:tplc="08090001" w:tentative="1">
      <w:start w:val="1"/>
      <w:numFmt w:val="bullet"/>
      <w:lvlText w:val=""/>
      <w:lvlJc w:val="left"/>
      <w:pPr>
        <w:ind w:left="4221" w:hanging="360"/>
      </w:pPr>
      <w:rPr>
        <w:rFonts w:ascii="Symbol" w:hAnsi="Symbol" w:hint="default"/>
      </w:rPr>
    </w:lvl>
    <w:lvl w:ilvl="4" w:tplc="08090003" w:tentative="1">
      <w:start w:val="1"/>
      <w:numFmt w:val="bullet"/>
      <w:lvlText w:val="o"/>
      <w:lvlJc w:val="left"/>
      <w:pPr>
        <w:ind w:left="4941" w:hanging="360"/>
      </w:pPr>
      <w:rPr>
        <w:rFonts w:ascii="Courier New" w:hAnsi="Courier New" w:cs="Courier New" w:hint="default"/>
      </w:rPr>
    </w:lvl>
    <w:lvl w:ilvl="5" w:tplc="08090005" w:tentative="1">
      <w:start w:val="1"/>
      <w:numFmt w:val="bullet"/>
      <w:lvlText w:val=""/>
      <w:lvlJc w:val="left"/>
      <w:pPr>
        <w:ind w:left="5661" w:hanging="360"/>
      </w:pPr>
      <w:rPr>
        <w:rFonts w:ascii="Wingdings" w:hAnsi="Wingdings" w:hint="default"/>
      </w:rPr>
    </w:lvl>
    <w:lvl w:ilvl="6" w:tplc="08090001" w:tentative="1">
      <w:start w:val="1"/>
      <w:numFmt w:val="bullet"/>
      <w:lvlText w:val=""/>
      <w:lvlJc w:val="left"/>
      <w:pPr>
        <w:ind w:left="6381" w:hanging="360"/>
      </w:pPr>
      <w:rPr>
        <w:rFonts w:ascii="Symbol" w:hAnsi="Symbol" w:hint="default"/>
      </w:rPr>
    </w:lvl>
    <w:lvl w:ilvl="7" w:tplc="08090003" w:tentative="1">
      <w:start w:val="1"/>
      <w:numFmt w:val="bullet"/>
      <w:lvlText w:val="o"/>
      <w:lvlJc w:val="left"/>
      <w:pPr>
        <w:ind w:left="7101" w:hanging="360"/>
      </w:pPr>
      <w:rPr>
        <w:rFonts w:ascii="Courier New" w:hAnsi="Courier New" w:cs="Courier New" w:hint="default"/>
      </w:rPr>
    </w:lvl>
    <w:lvl w:ilvl="8" w:tplc="08090005" w:tentative="1">
      <w:start w:val="1"/>
      <w:numFmt w:val="bullet"/>
      <w:lvlText w:val=""/>
      <w:lvlJc w:val="left"/>
      <w:pPr>
        <w:ind w:left="7821" w:hanging="360"/>
      </w:pPr>
      <w:rPr>
        <w:rFonts w:ascii="Wingdings" w:hAnsi="Wingdings" w:hint="default"/>
      </w:rPr>
    </w:lvl>
  </w:abstractNum>
  <w:abstractNum w:abstractNumId="12" w15:restartNumberingAfterBreak="0">
    <w:nsid w:val="47C47666"/>
    <w:multiLevelType w:val="hybridMultilevel"/>
    <w:tmpl w:val="141E0B6C"/>
    <w:lvl w:ilvl="0" w:tplc="DABE4B88">
      <w:start w:val="1"/>
      <w:numFmt w:val="decimal"/>
      <w:pStyle w:val="Heading3"/>
      <w:lvlText w:val="%1."/>
      <w:lvlJc w:val="left"/>
      <w:pPr>
        <w:ind w:left="720" w:hanging="360"/>
      </w:pPr>
    </w:lvl>
    <w:lvl w:ilvl="1" w:tplc="0B8092C4" w:tentative="1">
      <w:start w:val="1"/>
      <w:numFmt w:val="lowerLetter"/>
      <w:lvlText w:val="%2."/>
      <w:lvlJc w:val="left"/>
      <w:pPr>
        <w:ind w:left="1440" w:hanging="360"/>
      </w:pPr>
    </w:lvl>
    <w:lvl w:ilvl="2" w:tplc="E278C9C0" w:tentative="1">
      <w:start w:val="1"/>
      <w:numFmt w:val="lowerRoman"/>
      <w:lvlText w:val="%3."/>
      <w:lvlJc w:val="right"/>
      <w:pPr>
        <w:ind w:left="2160" w:hanging="180"/>
      </w:pPr>
    </w:lvl>
    <w:lvl w:ilvl="3" w:tplc="458A55CE" w:tentative="1">
      <w:start w:val="1"/>
      <w:numFmt w:val="decimal"/>
      <w:lvlText w:val="%4."/>
      <w:lvlJc w:val="left"/>
      <w:pPr>
        <w:ind w:left="2880" w:hanging="360"/>
      </w:pPr>
    </w:lvl>
    <w:lvl w:ilvl="4" w:tplc="1B804F94" w:tentative="1">
      <w:start w:val="1"/>
      <w:numFmt w:val="lowerLetter"/>
      <w:lvlText w:val="%5."/>
      <w:lvlJc w:val="left"/>
      <w:pPr>
        <w:ind w:left="3600" w:hanging="360"/>
      </w:pPr>
    </w:lvl>
    <w:lvl w:ilvl="5" w:tplc="6EEE33F8" w:tentative="1">
      <w:start w:val="1"/>
      <w:numFmt w:val="lowerRoman"/>
      <w:lvlText w:val="%6."/>
      <w:lvlJc w:val="right"/>
      <w:pPr>
        <w:ind w:left="4320" w:hanging="180"/>
      </w:pPr>
    </w:lvl>
    <w:lvl w:ilvl="6" w:tplc="14A44492" w:tentative="1">
      <w:start w:val="1"/>
      <w:numFmt w:val="decimal"/>
      <w:lvlText w:val="%7."/>
      <w:lvlJc w:val="left"/>
      <w:pPr>
        <w:ind w:left="5040" w:hanging="360"/>
      </w:pPr>
    </w:lvl>
    <w:lvl w:ilvl="7" w:tplc="F2822248" w:tentative="1">
      <w:start w:val="1"/>
      <w:numFmt w:val="lowerLetter"/>
      <w:lvlText w:val="%8."/>
      <w:lvlJc w:val="left"/>
      <w:pPr>
        <w:ind w:left="5760" w:hanging="360"/>
      </w:pPr>
    </w:lvl>
    <w:lvl w:ilvl="8" w:tplc="703E75BA" w:tentative="1">
      <w:start w:val="1"/>
      <w:numFmt w:val="lowerRoman"/>
      <w:lvlText w:val="%9."/>
      <w:lvlJc w:val="right"/>
      <w:pPr>
        <w:ind w:left="6480" w:hanging="180"/>
      </w:pPr>
    </w:lvl>
  </w:abstractNum>
  <w:abstractNum w:abstractNumId="13" w15:restartNumberingAfterBreak="0">
    <w:nsid w:val="4DBB52F1"/>
    <w:multiLevelType w:val="hybridMultilevel"/>
    <w:tmpl w:val="36723876"/>
    <w:lvl w:ilvl="0" w:tplc="F0885BE4">
      <w:start w:val="1"/>
      <w:numFmt w:val="decimal"/>
      <w:lvlText w:val="%1."/>
      <w:lvlJc w:val="left"/>
      <w:pPr>
        <w:ind w:left="720" w:hanging="360"/>
      </w:pPr>
    </w:lvl>
    <w:lvl w:ilvl="1" w:tplc="B34048EE" w:tentative="1">
      <w:start w:val="1"/>
      <w:numFmt w:val="bullet"/>
      <w:lvlText w:val="o"/>
      <w:lvlJc w:val="left"/>
      <w:pPr>
        <w:ind w:left="1440" w:hanging="360"/>
      </w:pPr>
      <w:rPr>
        <w:rFonts w:ascii="Courier New" w:hAnsi="Courier New" w:hint="default"/>
      </w:rPr>
    </w:lvl>
    <w:lvl w:ilvl="2" w:tplc="48E634AA" w:tentative="1">
      <w:start w:val="1"/>
      <w:numFmt w:val="bullet"/>
      <w:lvlText w:val=""/>
      <w:lvlJc w:val="left"/>
      <w:pPr>
        <w:ind w:left="2160" w:hanging="360"/>
      </w:pPr>
      <w:rPr>
        <w:rFonts w:ascii="Wingdings" w:hAnsi="Wingdings" w:hint="default"/>
      </w:rPr>
    </w:lvl>
    <w:lvl w:ilvl="3" w:tplc="B2DC34F4" w:tentative="1">
      <w:start w:val="1"/>
      <w:numFmt w:val="bullet"/>
      <w:lvlText w:val=""/>
      <w:lvlJc w:val="left"/>
      <w:pPr>
        <w:ind w:left="2880" w:hanging="360"/>
      </w:pPr>
      <w:rPr>
        <w:rFonts w:ascii="Symbol" w:hAnsi="Symbol" w:hint="default"/>
      </w:rPr>
    </w:lvl>
    <w:lvl w:ilvl="4" w:tplc="F9361012" w:tentative="1">
      <w:start w:val="1"/>
      <w:numFmt w:val="bullet"/>
      <w:lvlText w:val="o"/>
      <w:lvlJc w:val="left"/>
      <w:pPr>
        <w:ind w:left="3600" w:hanging="360"/>
      </w:pPr>
      <w:rPr>
        <w:rFonts w:ascii="Courier New" w:hAnsi="Courier New" w:hint="default"/>
      </w:rPr>
    </w:lvl>
    <w:lvl w:ilvl="5" w:tplc="0380A006" w:tentative="1">
      <w:start w:val="1"/>
      <w:numFmt w:val="bullet"/>
      <w:lvlText w:val=""/>
      <w:lvlJc w:val="left"/>
      <w:pPr>
        <w:ind w:left="4320" w:hanging="360"/>
      </w:pPr>
      <w:rPr>
        <w:rFonts w:ascii="Wingdings" w:hAnsi="Wingdings" w:hint="default"/>
      </w:rPr>
    </w:lvl>
    <w:lvl w:ilvl="6" w:tplc="7A242730" w:tentative="1">
      <w:start w:val="1"/>
      <w:numFmt w:val="bullet"/>
      <w:lvlText w:val=""/>
      <w:lvlJc w:val="left"/>
      <w:pPr>
        <w:ind w:left="5040" w:hanging="360"/>
      </w:pPr>
      <w:rPr>
        <w:rFonts w:ascii="Symbol" w:hAnsi="Symbol" w:hint="default"/>
      </w:rPr>
    </w:lvl>
    <w:lvl w:ilvl="7" w:tplc="A32C62F0" w:tentative="1">
      <w:start w:val="1"/>
      <w:numFmt w:val="bullet"/>
      <w:lvlText w:val="o"/>
      <w:lvlJc w:val="left"/>
      <w:pPr>
        <w:ind w:left="5760" w:hanging="360"/>
      </w:pPr>
      <w:rPr>
        <w:rFonts w:ascii="Courier New" w:hAnsi="Courier New" w:hint="default"/>
      </w:rPr>
    </w:lvl>
    <w:lvl w:ilvl="8" w:tplc="12AA761E" w:tentative="1">
      <w:start w:val="1"/>
      <w:numFmt w:val="bullet"/>
      <w:lvlText w:val=""/>
      <w:lvlJc w:val="left"/>
      <w:pPr>
        <w:ind w:left="6480" w:hanging="360"/>
      </w:pPr>
      <w:rPr>
        <w:rFonts w:ascii="Wingdings" w:hAnsi="Wingdings" w:hint="default"/>
      </w:rPr>
    </w:lvl>
  </w:abstractNum>
  <w:abstractNum w:abstractNumId="14" w15:restartNumberingAfterBreak="0">
    <w:nsid w:val="50B02483"/>
    <w:multiLevelType w:val="hybridMultilevel"/>
    <w:tmpl w:val="B9021B9C"/>
    <w:lvl w:ilvl="0" w:tplc="0809000F">
      <w:start w:val="1"/>
      <w:numFmt w:val="decimal"/>
      <w:lvlText w:val="%1."/>
      <w:lvlJc w:val="left"/>
      <w:pPr>
        <w:ind w:left="2061" w:hanging="360"/>
      </w:pPr>
    </w:lvl>
    <w:lvl w:ilvl="1" w:tplc="08090019" w:tentative="1">
      <w:start w:val="1"/>
      <w:numFmt w:val="lowerLetter"/>
      <w:lvlText w:val="%2."/>
      <w:lvlJc w:val="left"/>
      <w:pPr>
        <w:ind w:left="2781" w:hanging="360"/>
      </w:pPr>
    </w:lvl>
    <w:lvl w:ilvl="2" w:tplc="0809001B" w:tentative="1">
      <w:start w:val="1"/>
      <w:numFmt w:val="lowerRoman"/>
      <w:lvlText w:val="%3."/>
      <w:lvlJc w:val="right"/>
      <w:pPr>
        <w:ind w:left="3501" w:hanging="180"/>
      </w:pPr>
    </w:lvl>
    <w:lvl w:ilvl="3" w:tplc="0809000F" w:tentative="1">
      <w:start w:val="1"/>
      <w:numFmt w:val="decimal"/>
      <w:lvlText w:val="%4."/>
      <w:lvlJc w:val="left"/>
      <w:pPr>
        <w:ind w:left="4221" w:hanging="360"/>
      </w:pPr>
    </w:lvl>
    <w:lvl w:ilvl="4" w:tplc="08090019" w:tentative="1">
      <w:start w:val="1"/>
      <w:numFmt w:val="lowerLetter"/>
      <w:lvlText w:val="%5."/>
      <w:lvlJc w:val="left"/>
      <w:pPr>
        <w:ind w:left="4941" w:hanging="360"/>
      </w:pPr>
    </w:lvl>
    <w:lvl w:ilvl="5" w:tplc="0809001B" w:tentative="1">
      <w:start w:val="1"/>
      <w:numFmt w:val="lowerRoman"/>
      <w:lvlText w:val="%6."/>
      <w:lvlJc w:val="right"/>
      <w:pPr>
        <w:ind w:left="5661" w:hanging="180"/>
      </w:pPr>
    </w:lvl>
    <w:lvl w:ilvl="6" w:tplc="0809000F" w:tentative="1">
      <w:start w:val="1"/>
      <w:numFmt w:val="decimal"/>
      <w:lvlText w:val="%7."/>
      <w:lvlJc w:val="left"/>
      <w:pPr>
        <w:ind w:left="6381" w:hanging="360"/>
      </w:pPr>
    </w:lvl>
    <w:lvl w:ilvl="7" w:tplc="08090019" w:tentative="1">
      <w:start w:val="1"/>
      <w:numFmt w:val="lowerLetter"/>
      <w:lvlText w:val="%8."/>
      <w:lvlJc w:val="left"/>
      <w:pPr>
        <w:ind w:left="7101" w:hanging="360"/>
      </w:pPr>
    </w:lvl>
    <w:lvl w:ilvl="8" w:tplc="0809001B" w:tentative="1">
      <w:start w:val="1"/>
      <w:numFmt w:val="lowerRoman"/>
      <w:lvlText w:val="%9."/>
      <w:lvlJc w:val="right"/>
      <w:pPr>
        <w:ind w:left="7821" w:hanging="180"/>
      </w:pPr>
    </w:lvl>
  </w:abstractNum>
  <w:abstractNum w:abstractNumId="15" w15:restartNumberingAfterBreak="0">
    <w:nsid w:val="667600A6"/>
    <w:multiLevelType w:val="multilevel"/>
    <w:tmpl w:val="1EECB3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2364E16"/>
    <w:multiLevelType w:val="multilevel"/>
    <w:tmpl w:val="BFDE2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65F6243"/>
    <w:multiLevelType w:val="hybridMultilevel"/>
    <w:tmpl w:val="756870A4"/>
    <w:lvl w:ilvl="0" w:tplc="0DEC9D32">
      <w:numFmt w:val="bullet"/>
      <w:lvlText w:val="•"/>
      <w:lvlJc w:val="left"/>
      <w:pPr>
        <w:ind w:left="1080" w:hanging="720"/>
      </w:pPr>
      <w:rPr>
        <w:rFonts w:ascii="Aptos" w:hAnsi="Aptos" w:hint="default"/>
      </w:rPr>
    </w:lvl>
    <w:lvl w:ilvl="1" w:tplc="26C00F0E" w:tentative="1">
      <w:start w:val="1"/>
      <w:numFmt w:val="bullet"/>
      <w:lvlText w:val="o"/>
      <w:lvlJc w:val="left"/>
      <w:pPr>
        <w:ind w:left="1440" w:hanging="360"/>
      </w:pPr>
      <w:rPr>
        <w:rFonts w:ascii="Courier New" w:hAnsi="Courier New" w:hint="default"/>
      </w:rPr>
    </w:lvl>
    <w:lvl w:ilvl="2" w:tplc="EBC818A8" w:tentative="1">
      <w:start w:val="1"/>
      <w:numFmt w:val="bullet"/>
      <w:lvlText w:val=""/>
      <w:lvlJc w:val="left"/>
      <w:pPr>
        <w:ind w:left="2160" w:hanging="360"/>
      </w:pPr>
      <w:rPr>
        <w:rFonts w:ascii="Wingdings" w:hAnsi="Wingdings" w:hint="default"/>
      </w:rPr>
    </w:lvl>
    <w:lvl w:ilvl="3" w:tplc="6142BBF2" w:tentative="1">
      <w:start w:val="1"/>
      <w:numFmt w:val="bullet"/>
      <w:lvlText w:val=""/>
      <w:lvlJc w:val="left"/>
      <w:pPr>
        <w:ind w:left="2880" w:hanging="360"/>
      </w:pPr>
      <w:rPr>
        <w:rFonts w:ascii="Symbol" w:hAnsi="Symbol" w:hint="default"/>
      </w:rPr>
    </w:lvl>
    <w:lvl w:ilvl="4" w:tplc="BA502B76" w:tentative="1">
      <w:start w:val="1"/>
      <w:numFmt w:val="bullet"/>
      <w:lvlText w:val="o"/>
      <w:lvlJc w:val="left"/>
      <w:pPr>
        <w:ind w:left="3600" w:hanging="360"/>
      </w:pPr>
      <w:rPr>
        <w:rFonts w:ascii="Courier New" w:hAnsi="Courier New" w:hint="default"/>
      </w:rPr>
    </w:lvl>
    <w:lvl w:ilvl="5" w:tplc="B254C444" w:tentative="1">
      <w:start w:val="1"/>
      <w:numFmt w:val="bullet"/>
      <w:lvlText w:val=""/>
      <w:lvlJc w:val="left"/>
      <w:pPr>
        <w:ind w:left="4320" w:hanging="360"/>
      </w:pPr>
      <w:rPr>
        <w:rFonts w:ascii="Wingdings" w:hAnsi="Wingdings" w:hint="default"/>
      </w:rPr>
    </w:lvl>
    <w:lvl w:ilvl="6" w:tplc="1278EBE8" w:tentative="1">
      <w:start w:val="1"/>
      <w:numFmt w:val="bullet"/>
      <w:lvlText w:val=""/>
      <w:lvlJc w:val="left"/>
      <w:pPr>
        <w:ind w:left="5040" w:hanging="360"/>
      </w:pPr>
      <w:rPr>
        <w:rFonts w:ascii="Symbol" w:hAnsi="Symbol" w:hint="default"/>
      </w:rPr>
    </w:lvl>
    <w:lvl w:ilvl="7" w:tplc="A2E0EBB0" w:tentative="1">
      <w:start w:val="1"/>
      <w:numFmt w:val="bullet"/>
      <w:lvlText w:val="o"/>
      <w:lvlJc w:val="left"/>
      <w:pPr>
        <w:ind w:left="5760" w:hanging="360"/>
      </w:pPr>
      <w:rPr>
        <w:rFonts w:ascii="Courier New" w:hAnsi="Courier New" w:hint="default"/>
      </w:rPr>
    </w:lvl>
    <w:lvl w:ilvl="8" w:tplc="7BBA1952" w:tentative="1">
      <w:start w:val="1"/>
      <w:numFmt w:val="bullet"/>
      <w:lvlText w:val=""/>
      <w:lvlJc w:val="left"/>
      <w:pPr>
        <w:ind w:left="6480" w:hanging="360"/>
      </w:pPr>
      <w:rPr>
        <w:rFonts w:ascii="Wingdings" w:hAnsi="Wingdings" w:hint="default"/>
      </w:rPr>
    </w:lvl>
  </w:abstractNum>
  <w:abstractNum w:abstractNumId="18" w15:restartNumberingAfterBreak="0">
    <w:nsid w:val="79AE6A5D"/>
    <w:multiLevelType w:val="hybridMultilevel"/>
    <w:tmpl w:val="9ECA4EEC"/>
    <w:lvl w:ilvl="0" w:tplc="1412406E">
      <w:start w:val="1"/>
      <w:numFmt w:val="decimal"/>
      <w:lvlText w:val="%1)"/>
      <w:lvlJc w:val="left"/>
      <w:pPr>
        <w:ind w:left="1080" w:hanging="360"/>
      </w:pPr>
    </w:lvl>
    <w:lvl w:ilvl="1" w:tplc="2DBA9128">
      <w:start w:val="1"/>
      <w:numFmt w:val="decimal"/>
      <w:lvlText w:val="%2)"/>
      <w:lvlJc w:val="left"/>
      <w:pPr>
        <w:ind w:left="1080" w:hanging="360"/>
      </w:pPr>
    </w:lvl>
    <w:lvl w:ilvl="2" w:tplc="14544E4C">
      <w:start w:val="1"/>
      <w:numFmt w:val="decimal"/>
      <w:lvlText w:val="%3)"/>
      <w:lvlJc w:val="left"/>
      <w:pPr>
        <w:ind w:left="1080" w:hanging="360"/>
      </w:pPr>
    </w:lvl>
    <w:lvl w:ilvl="3" w:tplc="4EF8D1F4">
      <w:start w:val="1"/>
      <w:numFmt w:val="decimal"/>
      <w:lvlText w:val="%4)"/>
      <w:lvlJc w:val="left"/>
      <w:pPr>
        <w:ind w:left="1080" w:hanging="360"/>
      </w:pPr>
    </w:lvl>
    <w:lvl w:ilvl="4" w:tplc="346EC682">
      <w:start w:val="1"/>
      <w:numFmt w:val="decimal"/>
      <w:lvlText w:val="%5)"/>
      <w:lvlJc w:val="left"/>
      <w:pPr>
        <w:ind w:left="1080" w:hanging="360"/>
      </w:pPr>
    </w:lvl>
    <w:lvl w:ilvl="5" w:tplc="0CE4D9CA">
      <w:start w:val="1"/>
      <w:numFmt w:val="decimal"/>
      <w:lvlText w:val="%6)"/>
      <w:lvlJc w:val="left"/>
      <w:pPr>
        <w:ind w:left="1080" w:hanging="360"/>
      </w:pPr>
    </w:lvl>
    <w:lvl w:ilvl="6" w:tplc="921833BE">
      <w:start w:val="1"/>
      <w:numFmt w:val="decimal"/>
      <w:lvlText w:val="%7)"/>
      <w:lvlJc w:val="left"/>
      <w:pPr>
        <w:ind w:left="1080" w:hanging="360"/>
      </w:pPr>
    </w:lvl>
    <w:lvl w:ilvl="7" w:tplc="68B09EA0">
      <w:start w:val="1"/>
      <w:numFmt w:val="decimal"/>
      <w:lvlText w:val="%8)"/>
      <w:lvlJc w:val="left"/>
      <w:pPr>
        <w:ind w:left="1080" w:hanging="360"/>
      </w:pPr>
    </w:lvl>
    <w:lvl w:ilvl="8" w:tplc="C792AAFA">
      <w:start w:val="1"/>
      <w:numFmt w:val="decimal"/>
      <w:lvlText w:val="%9)"/>
      <w:lvlJc w:val="left"/>
      <w:pPr>
        <w:ind w:left="1080" w:hanging="360"/>
      </w:pPr>
    </w:lvl>
  </w:abstractNum>
  <w:abstractNum w:abstractNumId="19" w15:restartNumberingAfterBreak="0">
    <w:nsid w:val="7C7615AC"/>
    <w:multiLevelType w:val="hybridMultilevel"/>
    <w:tmpl w:val="586E0B5E"/>
    <w:lvl w:ilvl="0" w:tplc="65C00A46">
      <w:start w:val="1"/>
      <w:numFmt w:val="bullet"/>
      <w:lvlText w:val=""/>
      <w:lvlJc w:val="left"/>
      <w:pPr>
        <w:ind w:left="720" w:hanging="360"/>
      </w:pPr>
      <w:rPr>
        <w:rFonts w:ascii="Symbol" w:hAnsi="Symbol" w:hint="default"/>
      </w:rPr>
    </w:lvl>
    <w:lvl w:ilvl="1" w:tplc="598A6E9A" w:tentative="1">
      <w:start w:val="1"/>
      <w:numFmt w:val="bullet"/>
      <w:lvlText w:val="o"/>
      <w:lvlJc w:val="left"/>
      <w:pPr>
        <w:ind w:left="1440" w:hanging="360"/>
      </w:pPr>
      <w:rPr>
        <w:rFonts w:ascii="Courier New" w:hAnsi="Courier New" w:hint="default"/>
      </w:rPr>
    </w:lvl>
    <w:lvl w:ilvl="2" w:tplc="77CA267A" w:tentative="1">
      <w:start w:val="1"/>
      <w:numFmt w:val="bullet"/>
      <w:lvlText w:val=""/>
      <w:lvlJc w:val="left"/>
      <w:pPr>
        <w:ind w:left="2160" w:hanging="360"/>
      </w:pPr>
      <w:rPr>
        <w:rFonts w:ascii="Wingdings" w:hAnsi="Wingdings" w:hint="default"/>
      </w:rPr>
    </w:lvl>
    <w:lvl w:ilvl="3" w:tplc="7BC0D388" w:tentative="1">
      <w:start w:val="1"/>
      <w:numFmt w:val="bullet"/>
      <w:lvlText w:val=""/>
      <w:lvlJc w:val="left"/>
      <w:pPr>
        <w:ind w:left="2880" w:hanging="360"/>
      </w:pPr>
      <w:rPr>
        <w:rFonts w:ascii="Symbol" w:hAnsi="Symbol" w:hint="default"/>
      </w:rPr>
    </w:lvl>
    <w:lvl w:ilvl="4" w:tplc="811A30B6" w:tentative="1">
      <w:start w:val="1"/>
      <w:numFmt w:val="bullet"/>
      <w:lvlText w:val="o"/>
      <w:lvlJc w:val="left"/>
      <w:pPr>
        <w:ind w:left="3600" w:hanging="360"/>
      </w:pPr>
      <w:rPr>
        <w:rFonts w:ascii="Courier New" w:hAnsi="Courier New" w:hint="default"/>
      </w:rPr>
    </w:lvl>
    <w:lvl w:ilvl="5" w:tplc="36466F92" w:tentative="1">
      <w:start w:val="1"/>
      <w:numFmt w:val="bullet"/>
      <w:lvlText w:val=""/>
      <w:lvlJc w:val="left"/>
      <w:pPr>
        <w:ind w:left="4320" w:hanging="360"/>
      </w:pPr>
      <w:rPr>
        <w:rFonts w:ascii="Wingdings" w:hAnsi="Wingdings" w:hint="default"/>
      </w:rPr>
    </w:lvl>
    <w:lvl w:ilvl="6" w:tplc="B52003DC" w:tentative="1">
      <w:start w:val="1"/>
      <w:numFmt w:val="bullet"/>
      <w:lvlText w:val=""/>
      <w:lvlJc w:val="left"/>
      <w:pPr>
        <w:ind w:left="5040" w:hanging="360"/>
      </w:pPr>
      <w:rPr>
        <w:rFonts w:ascii="Symbol" w:hAnsi="Symbol" w:hint="default"/>
      </w:rPr>
    </w:lvl>
    <w:lvl w:ilvl="7" w:tplc="6ECC185C" w:tentative="1">
      <w:start w:val="1"/>
      <w:numFmt w:val="bullet"/>
      <w:lvlText w:val="o"/>
      <w:lvlJc w:val="left"/>
      <w:pPr>
        <w:ind w:left="5760" w:hanging="360"/>
      </w:pPr>
      <w:rPr>
        <w:rFonts w:ascii="Courier New" w:hAnsi="Courier New" w:hint="default"/>
      </w:rPr>
    </w:lvl>
    <w:lvl w:ilvl="8" w:tplc="FF78570E" w:tentative="1">
      <w:start w:val="1"/>
      <w:numFmt w:val="bullet"/>
      <w:lvlText w:val=""/>
      <w:lvlJc w:val="left"/>
      <w:pPr>
        <w:ind w:left="6480" w:hanging="360"/>
      </w:pPr>
      <w:rPr>
        <w:rFonts w:ascii="Wingdings" w:hAnsi="Wingdings" w:hint="default"/>
      </w:rPr>
    </w:lvl>
  </w:abstractNum>
  <w:num w:numId="1" w16cid:durableId="218439662">
    <w:abstractNumId w:val="7"/>
  </w:num>
  <w:num w:numId="2" w16cid:durableId="476143366">
    <w:abstractNumId w:val="9"/>
  </w:num>
  <w:num w:numId="3" w16cid:durableId="1608077074">
    <w:abstractNumId w:val="8"/>
  </w:num>
  <w:num w:numId="4" w16cid:durableId="2050718300">
    <w:abstractNumId w:val="19"/>
  </w:num>
  <w:num w:numId="5" w16cid:durableId="609896399">
    <w:abstractNumId w:val="13"/>
  </w:num>
  <w:num w:numId="6" w16cid:durableId="1119304529">
    <w:abstractNumId w:val="12"/>
  </w:num>
  <w:num w:numId="7" w16cid:durableId="1151947672">
    <w:abstractNumId w:val="4"/>
  </w:num>
  <w:num w:numId="8" w16cid:durableId="881941346">
    <w:abstractNumId w:val="0"/>
  </w:num>
  <w:num w:numId="9" w16cid:durableId="303463517">
    <w:abstractNumId w:val="18"/>
  </w:num>
  <w:num w:numId="10" w16cid:durableId="1091971041">
    <w:abstractNumId w:val="2"/>
  </w:num>
  <w:num w:numId="11" w16cid:durableId="826287613">
    <w:abstractNumId w:val="17"/>
  </w:num>
  <w:num w:numId="12" w16cid:durableId="36441823">
    <w:abstractNumId w:val="11"/>
  </w:num>
  <w:num w:numId="13" w16cid:durableId="418865293">
    <w:abstractNumId w:val="14"/>
  </w:num>
  <w:num w:numId="14" w16cid:durableId="902716723">
    <w:abstractNumId w:val="5"/>
  </w:num>
  <w:num w:numId="15" w16cid:durableId="455368036">
    <w:abstractNumId w:val="1"/>
  </w:num>
  <w:num w:numId="16" w16cid:durableId="1463570529">
    <w:abstractNumId w:val="15"/>
  </w:num>
  <w:num w:numId="17" w16cid:durableId="2142264941">
    <w:abstractNumId w:val="10"/>
  </w:num>
  <w:num w:numId="18" w16cid:durableId="1329214289">
    <w:abstractNumId w:val="16"/>
  </w:num>
  <w:num w:numId="19" w16cid:durableId="186481265">
    <w:abstractNumId w:val="3"/>
  </w:num>
  <w:num w:numId="20" w16cid:durableId="86166774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BDA"/>
    <w:rsid w:val="00000130"/>
    <w:rsid w:val="000005CB"/>
    <w:rsid w:val="00000C6F"/>
    <w:rsid w:val="00001222"/>
    <w:rsid w:val="00002B7A"/>
    <w:rsid w:val="00003997"/>
    <w:rsid w:val="000053BF"/>
    <w:rsid w:val="00005CB8"/>
    <w:rsid w:val="00007141"/>
    <w:rsid w:val="00010F26"/>
    <w:rsid w:val="00011591"/>
    <w:rsid w:val="0001296C"/>
    <w:rsid w:val="00013B85"/>
    <w:rsid w:val="00013EDF"/>
    <w:rsid w:val="000143FA"/>
    <w:rsid w:val="000165C7"/>
    <w:rsid w:val="000208F5"/>
    <w:rsid w:val="00020BCB"/>
    <w:rsid w:val="00020E65"/>
    <w:rsid w:val="000216B0"/>
    <w:rsid w:val="00021783"/>
    <w:rsid w:val="00022A46"/>
    <w:rsid w:val="00022FA5"/>
    <w:rsid w:val="00024380"/>
    <w:rsid w:val="00025A86"/>
    <w:rsid w:val="00025F10"/>
    <w:rsid w:val="000261BE"/>
    <w:rsid w:val="00027D81"/>
    <w:rsid w:val="00027E29"/>
    <w:rsid w:val="00030D93"/>
    <w:rsid w:val="000323F3"/>
    <w:rsid w:val="00034FC4"/>
    <w:rsid w:val="000441C4"/>
    <w:rsid w:val="00045393"/>
    <w:rsid w:val="0004618D"/>
    <w:rsid w:val="000502CD"/>
    <w:rsid w:val="00051D78"/>
    <w:rsid w:val="0005421D"/>
    <w:rsid w:val="000545D0"/>
    <w:rsid w:val="00054F46"/>
    <w:rsid w:val="00060A97"/>
    <w:rsid w:val="0006106C"/>
    <w:rsid w:val="00062D07"/>
    <w:rsid w:val="00063272"/>
    <w:rsid w:val="0006452E"/>
    <w:rsid w:val="0006767B"/>
    <w:rsid w:val="00067F70"/>
    <w:rsid w:val="0007072C"/>
    <w:rsid w:val="000715C0"/>
    <w:rsid w:val="000722AF"/>
    <w:rsid w:val="0007413C"/>
    <w:rsid w:val="0007500F"/>
    <w:rsid w:val="000762F4"/>
    <w:rsid w:val="00077E25"/>
    <w:rsid w:val="0008092D"/>
    <w:rsid w:val="000829A5"/>
    <w:rsid w:val="00083067"/>
    <w:rsid w:val="00083ACB"/>
    <w:rsid w:val="00083E17"/>
    <w:rsid w:val="0008439B"/>
    <w:rsid w:val="00085F8C"/>
    <w:rsid w:val="000869F8"/>
    <w:rsid w:val="00086B66"/>
    <w:rsid w:val="00086BD4"/>
    <w:rsid w:val="00090861"/>
    <w:rsid w:val="00090D23"/>
    <w:rsid w:val="00090E37"/>
    <w:rsid w:val="00090E59"/>
    <w:rsid w:val="00092CB2"/>
    <w:rsid w:val="00095C01"/>
    <w:rsid w:val="000963DB"/>
    <w:rsid w:val="0009777A"/>
    <w:rsid w:val="000A05A3"/>
    <w:rsid w:val="000A0BCE"/>
    <w:rsid w:val="000A17A5"/>
    <w:rsid w:val="000A1837"/>
    <w:rsid w:val="000A2ABA"/>
    <w:rsid w:val="000A47C0"/>
    <w:rsid w:val="000A5523"/>
    <w:rsid w:val="000B0E7D"/>
    <w:rsid w:val="000B153B"/>
    <w:rsid w:val="000B309E"/>
    <w:rsid w:val="000B3E69"/>
    <w:rsid w:val="000B6B09"/>
    <w:rsid w:val="000C0442"/>
    <w:rsid w:val="000C189D"/>
    <w:rsid w:val="000C3FE2"/>
    <w:rsid w:val="000C6D34"/>
    <w:rsid w:val="000C7AA2"/>
    <w:rsid w:val="000D0B77"/>
    <w:rsid w:val="000D125C"/>
    <w:rsid w:val="000D1F20"/>
    <w:rsid w:val="000D397C"/>
    <w:rsid w:val="000D4ED0"/>
    <w:rsid w:val="000D59B0"/>
    <w:rsid w:val="000D5B85"/>
    <w:rsid w:val="000D63A3"/>
    <w:rsid w:val="000D7A3F"/>
    <w:rsid w:val="000E0E37"/>
    <w:rsid w:val="000E117F"/>
    <w:rsid w:val="000E1BF2"/>
    <w:rsid w:val="000E2E85"/>
    <w:rsid w:val="000E3166"/>
    <w:rsid w:val="000E44FC"/>
    <w:rsid w:val="000E4C8B"/>
    <w:rsid w:val="000E547A"/>
    <w:rsid w:val="000E7C13"/>
    <w:rsid w:val="000E7D4E"/>
    <w:rsid w:val="000F032E"/>
    <w:rsid w:val="000F1BE5"/>
    <w:rsid w:val="000F5512"/>
    <w:rsid w:val="000F6EA0"/>
    <w:rsid w:val="000F73D4"/>
    <w:rsid w:val="001015F0"/>
    <w:rsid w:val="001016A8"/>
    <w:rsid w:val="00102989"/>
    <w:rsid w:val="001038E2"/>
    <w:rsid w:val="00103E93"/>
    <w:rsid w:val="001045C8"/>
    <w:rsid w:val="0010499D"/>
    <w:rsid w:val="00106514"/>
    <w:rsid w:val="001075B2"/>
    <w:rsid w:val="00107FB5"/>
    <w:rsid w:val="00110522"/>
    <w:rsid w:val="001109F1"/>
    <w:rsid w:val="00110BA5"/>
    <w:rsid w:val="00110EAE"/>
    <w:rsid w:val="001112AF"/>
    <w:rsid w:val="00112532"/>
    <w:rsid w:val="00112D6A"/>
    <w:rsid w:val="00113334"/>
    <w:rsid w:val="00114A17"/>
    <w:rsid w:val="001156D6"/>
    <w:rsid w:val="00117652"/>
    <w:rsid w:val="001218D1"/>
    <w:rsid w:val="00121CC4"/>
    <w:rsid w:val="00122E1F"/>
    <w:rsid w:val="00123B2C"/>
    <w:rsid w:val="00123D74"/>
    <w:rsid w:val="00125490"/>
    <w:rsid w:val="001257BC"/>
    <w:rsid w:val="00125E48"/>
    <w:rsid w:val="001304C1"/>
    <w:rsid w:val="00131BE5"/>
    <w:rsid w:val="00133BFC"/>
    <w:rsid w:val="00134443"/>
    <w:rsid w:val="00134893"/>
    <w:rsid w:val="0013634F"/>
    <w:rsid w:val="00136BE6"/>
    <w:rsid w:val="00141164"/>
    <w:rsid w:val="001437A2"/>
    <w:rsid w:val="00144B18"/>
    <w:rsid w:val="0014520B"/>
    <w:rsid w:val="00145465"/>
    <w:rsid w:val="0014594D"/>
    <w:rsid w:val="00145C7B"/>
    <w:rsid w:val="00146A32"/>
    <w:rsid w:val="00146CD6"/>
    <w:rsid w:val="00147227"/>
    <w:rsid w:val="00147D81"/>
    <w:rsid w:val="00147DA4"/>
    <w:rsid w:val="00147E0C"/>
    <w:rsid w:val="00150629"/>
    <w:rsid w:val="0015583B"/>
    <w:rsid w:val="00155B99"/>
    <w:rsid w:val="00156CE5"/>
    <w:rsid w:val="00157CE6"/>
    <w:rsid w:val="00160694"/>
    <w:rsid w:val="00160BA6"/>
    <w:rsid w:val="00162F8A"/>
    <w:rsid w:val="00164DA6"/>
    <w:rsid w:val="001656C3"/>
    <w:rsid w:val="00165F80"/>
    <w:rsid w:val="00172BB4"/>
    <w:rsid w:val="001732C3"/>
    <w:rsid w:val="001739EE"/>
    <w:rsid w:val="00173C56"/>
    <w:rsid w:val="00175834"/>
    <w:rsid w:val="00175BE2"/>
    <w:rsid w:val="00175E28"/>
    <w:rsid w:val="00175F8C"/>
    <w:rsid w:val="00182A6B"/>
    <w:rsid w:val="001837D0"/>
    <w:rsid w:val="00184AA2"/>
    <w:rsid w:val="00186AB1"/>
    <w:rsid w:val="00190270"/>
    <w:rsid w:val="00190455"/>
    <w:rsid w:val="00190898"/>
    <w:rsid w:val="0019175E"/>
    <w:rsid w:val="0019286F"/>
    <w:rsid w:val="00192C0B"/>
    <w:rsid w:val="00193783"/>
    <w:rsid w:val="00193FDF"/>
    <w:rsid w:val="0019487D"/>
    <w:rsid w:val="00194D16"/>
    <w:rsid w:val="00194DF3"/>
    <w:rsid w:val="0019635E"/>
    <w:rsid w:val="00196E55"/>
    <w:rsid w:val="00197092"/>
    <w:rsid w:val="001972FE"/>
    <w:rsid w:val="001974FF"/>
    <w:rsid w:val="001A0134"/>
    <w:rsid w:val="001A0F38"/>
    <w:rsid w:val="001A1033"/>
    <w:rsid w:val="001A2155"/>
    <w:rsid w:val="001A2926"/>
    <w:rsid w:val="001A2CEE"/>
    <w:rsid w:val="001A434C"/>
    <w:rsid w:val="001A7998"/>
    <w:rsid w:val="001A7C6E"/>
    <w:rsid w:val="001B053A"/>
    <w:rsid w:val="001B08D1"/>
    <w:rsid w:val="001B23ED"/>
    <w:rsid w:val="001B25CA"/>
    <w:rsid w:val="001B3DC8"/>
    <w:rsid w:val="001B413C"/>
    <w:rsid w:val="001B60D0"/>
    <w:rsid w:val="001B6A60"/>
    <w:rsid w:val="001B7E5A"/>
    <w:rsid w:val="001C0108"/>
    <w:rsid w:val="001C0185"/>
    <w:rsid w:val="001C1688"/>
    <w:rsid w:val="001C1F03"/>
    <w:rsid w:val="001C3D1D"/>
    <w:rsid w:val="001C4004"/>
    <w:rsid w:val="001C4C7D"/>
    <w:rsid w:val="001C5753"/>
    <w:rsid w:val="001C68B2"/>
    <w:rsid w:val="001C706F"/>
    <w:rsid w:val="001D19F0"/>
    <w:rsid w:val="001D1AB0"/>
    <w:rsid w:val="001D2E6B"/>
    <w:rsid w:val="001D4CD7"/>
    <w:rsid w:val="001D5594"/>
    <w:rsid w:val="001D58F8"/>
    <w:rsid w:val="001D66F1"/>
    <w:rsid w:val="001D783D"/>
    <w:rsid w:val="001E03C5"/>
    <w:rsid w:val="001E0877"/>
    <w:rsid w:val="001E1761"/>
    <w:rsid w:val="001E2723"/>
    <w:rsid w:val="001E3A0C"/>
    <w:rsid w:val="001E4B54"/>
    <w:rsid w:val="001E7CA4"/>
    <w:rsid w:val="001F0BDB"/>
    <w:rsid w:val="001F202B"/>
    <w:rsid w:val="001F4872"/>
    <w:rsid w:val="001F4CCA"/>
    <w:rsid w:val="001F6AF2"/>
    <w:rsid w:val="00200139"/>
    <w:rsid w:val="00200307"/>
    <w:rsid w:val="00200F26"/>
    <w:rsid w:val="00201030"/>
    <w:rsid w:val="0020147C"/>
    <w:rsid w:val="002017ED"/>
    <w:rsid w:val="00202730"/>
    <w:rsid w:val="00203264"/>
    <w:rsid w:val="00203772"/>
    <w:rsid w:val="002038EE"/>
    <w:rsid w:val="00204381"/>
    <w:rsid w:val="002061D2"/>
    <w:rsid w:val="0020709F"/>
    <w:rsid w:val="002072CF"/>
    <w:rsid w:val="00211A8B"/>
    <w:rsid w:val="00212594"/>
    <w:rsid w:val="0021363A"/>
    <w:rsid w:val="0021371B"/>
    <w:rsid w:val="00213762"/>
    <w:rsid w:val="00213DEC"/>
    <w:rsid w:val="00215B5D"/>
    <w:rsid w:val="0021647A"/>
    <w:rsid w:val="002164B2"/>
    <w:rsid w:val="00217FE2"/>
    <w:rsid w:val="0022010A"/>
    <w:rsid w:val="0022090E"/>
    <w:rsid w:val="00220DA2"/>
    <w:rsid w:val="00221057"/>
    <w:rsid w:val="002217BC"/>
    <w:rsid w:val="00224AA1"/>
    <w:rsid w:val="00225C05"/>
    <w:rsid w:val="00230905"/>
    <w:rsid w:val="00231481"/>
    <w:rsid w:val="00231EA0"/>
    <w:rsid w:val="00231EAE"/>
    <w:rsid w:val="002323D2"/>
    <w:rsid w:val="0023271D"/>
    <w:rsid w:val="00234534"/>
    <w:rsid w:val="00234FB9"/>
    <w:rsid w:val="002369D1"/>
    <w:rsid w:val="00236D41"/>
    <w:rsid w:val="00236D85"/>
    <w:rsid w:val="00236E9B"/>
    <w:rsid w:val="00237790"/>
    <w:rsid w:val="00237FD2"/>
    <w:rsid w:val="0024501A"/>
    <w:rsid w:val="0025008D"/>
    <w:rsid w:val="00254C70"/>
    <w:rsid w:val="002567B4"/>
    <w:rsid w:val="00257AF8"/>
    <w:rsid w:val="00261EE0"/>
    <w:rsid w:val="0026394B"/>
    <w:rsid w:val="0026453C"/>
    <w:rsid w:val="00264D2E"/>
    <w:rsid w:val="0026598A"/>
    <w:rsid w:val="0026649F"/>
    <w:rsid w:val="00266790"/>
    <w:rsid w:val="00266D83"/>
    <w:rsid w:val="002705A4"/>
    <w:rsid w:val="00270EE5"/>
    <w:rsid w:val="002716BE"/>
    <w:rsid w:val="002717A5"/>
    <w:rsid w:val="00274204"/>
    <w:rsid w:val="002747C7"/>
    <w:rsid w:val="00274FFA"/>
    <w:rsid w:val="002762D6"/>
    <w:rsid w:val="00276400"/>
    <w:rsid w:val="002767BC"/>
    <w:rsid w:val="0027710C"/>
    <w:rsid w:val="002779F1"/>
    <w:rsid w:val="00281289"/>
    <w:rsid w:val="002812CB"/>
    <w:rsid w:val="00282373"/>
    <w:rsid w:val="00282474"/>
    <w:rsid w:val="002826EF"/>
    <w:rsid w:val="00282B8F"/>
    <w:rsid w:val="002837E9"/>
    <w:rsid w:val="0028392E"/>
    <w:rsid w:val="0028429F"/>
    <w:rsid w:val="00284527"/>
    <w:rsid w:val="002850D5"/>
    <w:rsid w:val="00285151"/>
    <w:rsid w:val="00285A55"/>
    <w:rsid w:val="00285F72"/>
    <w:rsid w:val="00287D90"/>
    <w:rsid w:val="00297CC2"/>
    <w:rsid w:val="00297DBE"/>
    <w:rsid w:val="002A0A29"/>
    <w:rsid w:val="002A0EEB"/>
    <w:rsid w:val="002A2244"/>
    <w:rsid w:val="002A363C"/>
    <w:rsid w:val="002A3985"/>
    <w:rsid w:val="002A7D07"/>
    <w:rsid w:val="002B1059"/>
    <w:rsid w:val="002B1CCF"/>
    <w:rsid w:val="002B284B"/>
    <w:rsid w:val="002B2F03"/>
    <w:rsid w:val="002B5730"/>
    <w:rsid w:val="002B6D4A"/>
    <w:rsid w:val="002C0795"/>
    <w:rsid w:val="002C2889"/>
    <w:rsid w:val="002C2E2D"/>
    <w:rsid w:val="002C574C"/>
    <w:rsid w:val="002C6414"/>
    <w:rsid w:val="002D02EA"/>
    <w:rsid w:val="002D030D"/>
    <w:rsid w:val="002D1680"/>
    <w:rsid w:val="002D279C"/>
    <w:rsid w:val="002D3D91"/>
    <w:rsid w:val="002D4007"/>
    <w:rsid w:val="002D5D7B"/>
    <w:rsid w:val="002D605C"/>
    <w:rsid w:val="002D6F8E"/>
    <w:rsid w:val="002E0367"/>
    <w:rsid w:val="002E0A16"/>
    <w:rsid w:val="002E1605"/>
    <w:rsid w:val="002E17D8"/>
    <w:rsid w:val="002E24CE"/>
    <w:rsid w:val="002E2A78"/>
    <w:rsid w:val="002E316D"/>
    <w:rsid w:val="002E331E"/>
    <w:rsid w:val="002E3E8A"/>
    <w:rsid w:val="002E3FF2"/>
    <w:rsid w:val="002E6F90"/>
    <w:rsid w:val="002E710D"/>
    <w:rsid w:val="002E78CE"/>
    <w:rsid w:val="002F1838"/>
    <w:rsid w:val="002F26B9"/>
    <w:rsid w:val="002F31DE"/>
    <w:rsid w:val="002F552D"/>
    <w:rsid w:val="002F5B18"/>
    <w:rsid w:val="002F716E"/>
    <w:rsid w:val="002F7293"/>
    <w:rsid w:val="002F7359"/>
    <w:rsid w:val="002F799A"/>
    <w:rsid w:val="002F7FA2"/>
    <w:rsid w:val="00300336"/>
    <w:rsid w:val="00303854"/>
    <w:rsid w:val="00303A94"/>
    <w:rsid w:val="003040A4"/>
    <w:rsid w:val="00304A97"/>
    <w:rsid w:val="00307D90"/>
    <w:rsid w:val="0031047E"/>
    <w:rsid w:val="00310770"/>
    <w:rsid w:val="00310B31"/>
    <w:rsid w:val="003112E1"/>
    <w:rsid w:val="0031415A"/>
    <w:rsid w:val="00315050"/>
    <w:rsid w:val="00315F26"/>
    <w:rsid w:val="00320414"/>
    <w:rsid w:val="00321328"/>
    <w:rsid w:val="00325D2C"/>
    <w:rsid w:val="0032662C"/>
    <w:rsid w:val="00326F9B"/>
    <w:rsid w:val="00327492"/>
    <w:rsid w:val="0033088A"/>
    <w:rsid w:val="003314AA"/>
    <w:rsid w:val="0033378B"/>
    <w:rsid w:val="003337B7"/>
    <w:rsid w:val="0033382C"/>
    <w:rsid w:val="0033420E"/>
    <w:rsid w:val="00334C96"/>
    <w:rsid w:val="00336755"/>
    <w:rsid w:val="00342EE8"/>
    <w:rsid w:val="003433A0"/>
    <w:rsid w:val="003433C6"/>
    <w:rsid w:val="00343B2C"/>
    <w:rsid w:val="003441CE"/>
    <w:rsid w:val="00344D12"/>
    <w:rsid w:val="0034510A"/>
    <w:rsid w:val="00347E16"/>
    <w:rsid w:val="00351731"/>
    <w:rsid w:val="003518B2"/>
    <w:rsid w:val="003521B6"/>
    <w:rsid w:val="0035254C"/>
    <w:rsid w:val="00352638"/>
    <w:rsid w:val="003563A0"/>
    <w:rsid w:val="00357AF0"/>
    <w:rsid w:val="00362CF3"/>
    <w:rsid w:val="003631E5"/>
    <w:rsid w:val="00364708"/>
    <w:rsid w:val="00364C20"/>
    <w:rsid w:val="00365060"/>
    <w:rsid w:val="0036545A"/>
    <w:rsid w:val="00365690"/>
    <w:rsid w:val="003660B0"/>
    <w:rsid w:val="003673EA"/>
    <w:rsid w:val="003676CD"/>
    <w:rsid w:val="00371CAF"/>
    <w:rsid w:val="0037398B"/>
    <w:rsid w:val="00373E9F"/>
    <w:rsid w:val="0038214F"/>
    <w:rsid w:val="0038227B"/>
    <w:rsid w:val="0038330D"/>
    <w:rsid w:val="0038385F"/>
    <w:rsid w:val="00384AF3"/>
    <w:rsid w:val="00386DA4"/>
    <w:rsid w:val="00390B73"/>
    <w:rsid w:val="00390E7C"/>
    <w:rsid w:val="003918AE"/>
    <w:rsid w:val="00393439"/>
    <w:rsid w:val="00393A29"/>
    <w:rsid w:val="003949C6"/>
    <w:rsid w:val="00394D82"/>
    <w:rsid w:val="00397997"/>
    <w:rsid w:val="00397B02"/>
    <w:rsid w:val="00397ECC"/>
    <w:rsid w:val="003A14DA"/>
    <w:rsid w:val="003A1CFB"/>
    <w:rsid w:val="003A204C"/>
    <w:rsid w:val="003A246B"/>
    <w:rsid w:val="003A6C30"/>
    <w:rsid w:val="003B0215"/>
    <w:rsid w:val="003B300E"/>
    <w:rsid w:val="003B33E6"/>
    <w:rsid w:val="003B3575"/>
    <w:rsid w:val="003B3C11"/>
    <w:rsid w:val="003B40B3"/>
    <w:rsid w:val="003B435F"/>
    <w:rsid w:val="003B5C10"/>
    <w:rsid w:val="003B652C"/>
    <w:rsid w:val="003B6A83"/>
    <w:rsid w:val="003B6D87"/>
    <w:rsid w:val="003C0DEA"/>
    <w:rsid w:val="003C349E"/>
    <w:rsid w:val="003C39A4"/>
    <w:rsid w:val="003C483D"/>
    <w:rsid w:val="003C508D"/>
    <w:rsid w:val="003C5BBD"/>
    <w:rsid w:val="003C6773"/>
    <w:rsid w:val="003C6FE8"/>
    <w:rsid w:val="003C744C"/>
    <w:rsid w:val="003D003E"/>
    <w:rsid w:val="003D0B76"/>
    <w:rsid w:val="003D0EF7"/>
    <w:rsid w:val="003D138E"/>
    <w:rsid w:val="003D1680"/>
    <w:rsid w:val="003D190A"/>
    <w:rsid w:val="003D1CBA"/>
    <w:rsid w:val="003D5563"/>
    <w:rsid w:val="003D6BB1"/>
    <w:rsid w:val="003D7034"/>
    <w:rsid w:val="003D7763"/>
    <w:rsid w:val="003E11F0"/>
    <w:rsid w:val="003E207B"/>
    <w:rsid w:val="003E2A5E"/>
    <w:rsid w:val="003E2AC4"/>
    <w:rsid w:val="003E32A6"/>
    <w:rsid w:val="003E38A0"/>
    <w:rsid w:val="003E3BCC"/>
    <w:rsid w:val="003E4EEE"/>
    <w:rsid w:val="003E7EED"/>
    <w:rsid w:val="003F0B27"/>
    <w:rsid w:val="003F0BDA"/>
    <w:rsid w:val="003F1311"/>
    <w:rsid w:val="003F32C7"/>
    <w:rsid w:val="003F34E3"/>
    <w:rsid w:val="003F59F0"/>
    <w:rsid w:val="00400873"/>
    <w:rsid w:val="0040098A"/>
    <w:rsid w:val="00402372"/>
    <w:rsid w:val="004026CE"/>
    <w:rsid w:val="00403274"/>
    <w:rsid w:val="00404E1F"/>
    <w:rsid w:val="004057BE"/>
    <w:rsid w:val="0041083D"/>
    <w:rsid w:val="00410CDD"/>
    <w:rsid w:val="00412222"/>
    <w:rsid w:val="00413601"/>
    <w:rsid w:val="00415AA4"/>
    <w:rsid w:val="004178D0"/>
    <w:rsid w:val="004213E4"/>
    <w:rsid w:val="0042157D"/>
    <w:rsid w:val="00423BCA"/>
    <w:rsid w:val="0042597A"/>
    <w:rsid w:val="00427171"/>
    <w:rsid w:val="0043095E"/>
    <w:rsid w:val="00432427"/>
    <w:rsid w:val="00432ABA"/>
    <w:rsid w:val="00432CB4"/>
    <w:rsid w:val="00433FB0"/>
    <w:rsid w:val="00436415"/>
    <w:rsid w:val="0043686F"/>
    <w:rsid w:val="00436A42"/>
    <w:rsid w:val="004371A4"/>
    <w:rsid w:val="00437EEB"/>
    <w:rsid w:val="004410FB"/>
    <w:rsid w:val="00445CE1"/>
    <w:rsid w:val="00445D6D"/>
    <w:rsid w:val="00446C46"/>
    <w:rsid w:val="00446DD9"/>
    <w:rsid w:val="00447036"/>
    <w:rsid w:val="00447A4B"/>
    <w:rsid w:val="00447C9E"/>
    <w:rsid w:val="00451057"/>
    <w:rsid w:val="00451C9E"/>
    <w:rsid w:val="00452931"/>
    <w:rsid w:val="00452CA4"/>
    <w:rsid w:val="00455AE5"/>
    <w:rsid w:val="00456215"/>
    <w:rsid w:val="00457A62"/>
    <w:rsid w:val="00457FD3"/>
    <w:rsid w:val="00460493"/>
    <w:rsid w:val="00460F33"/>
    <w:rsid w:val="00460F72"/>
    <w:rsid w:val="004635FE"/>
    <w:rsid w:val="00465F91"/>
    <w:rsid w:val="004663D0"/>
    <w:rsid w:val="00466D8D"/>
    <w:rsid w:val="004675B1"/>
    <w:rsid w:val="0047059B"/>
    <w:rsid w:val="0047167A"/>
    <w:rsid w:val="00472398"/>
    <w:rsid w:val="00472432"/>
    <w:rsid w:val="004727D4"/>
    <w:rsid w:val="00472A7A"/>
    <w:rsid w:val="0047399E"/>
    <w:rsid w:val="00473C2F"/>
    <w:rsid w:val="00474668"/>
    <w:rsid w:val="004761F5"/>
    <w:rsid w:val="004770FB"/>
    <w:rsid w:val="004771B7"/>
    <w:rsid w:val="00480EB5"/>
    <w:rsid w:val="00481938"/>
    <w:rsid w:val="00482060"/>
    <w:rsid w:val="0048346C"/>
    <w:rsid w:val="0048567D"/>
    <w:rsid w:val="00486857"/>
    <w:rsid w:val="0048728F"/>
    <w:rsid w:val="004902DF"/>
    <w:rsid w:val="00490765"/>
    <w:rsid w:val="00491BAB"/>
    <w:rsid w:val="00492A31"/>
    <w:rsid w:val="0049320E"/>
    <w:rsid w:val="004943E4"/>
    <w:rsid w:val="00494D92"/>
    <w:rsid w:val="00494E97"/>
    <w:rsid w:val="00495F46"/>
    <w:rsid w:val="00496BAE"/>
    <w:rsid w:val="004A1D36"/>
    <w:rsid w:val="004A1DC5"/>
    <w:rsid w:val="004A24B8"/>
    <w:rsid w:val="004A2E59"/>
    <w:rsid w:val="004A409E"/>
    <w:rsid w:val="004A43F3"/>
    <w:rsid w:val="004A4805"/>
    <w:rsid w:val="004A56F5"/>
    <w:rsid w:val="004A58BF"/>
    <w:rsid w:val="004A6567"/>
    <w:rsid w:val="004B0502"/>
    <w:rsid w:val="004B0595"/>
    <w:rsid w:val="004B069E"/>
    <w:rsid w:val="004B08C8"/>
    <w:rsid w:val="004B1340"/>
    <w:rsid w:val="004B1C62"/>
    <w:rsid w:val="004B2509"/>
    <w:rsid w:val="004B27B9"/>
    <w:rsid w:val="004B36C9"/>
    <w:rsid w:val="004B4FD4"/>
    <w:rsid w:val="004B5378"/>
    <w:rsid w:val="004B6738"/>
    <w:rsid w:val="004B6DD7"/>
    <w:rsid w:val="004B6DF4"/>
    <w:rsid w:val="004C041C"/>
    <w:rsid w:val="004C08FB"/>
    <w:rsid w:val="004C2D1D"/>
    <w:rsid w:val="004C2D3B"/>
    <w:rsid w:val="004C3C86"/>
    <w:rsid w:val="004C44DE"/>
    <w:rsid w:val="004C58D7"/>
    <w:rsid w:val="004C5AF3"/>
    <w:rsid w:val="004C5E9F"/>
    <w:rsid w:val="004C6368"/>
    <w:rsid w:val="004C72C9"/>
    <w:rsid w:val="004D01E4"/>
    <w:rsid w:val="004D0E39"/>
    <w:rsid w:val="004D4B4D"/>
    <w:rsid w:val="004D5065"/>
    <w:rsid w:val="004D62AD"/>
    <w:rsid w:val="004D665C"/>
    <w:rsid w:val="004D6E6E"/>
    <w:rsid w:val="004D749C"/>
    <w:rsid w:val="004E0497"/>
    <w:rsid w:val="004E11B1"/>
    <w:rsid w:val="004E12E1"/>
    <w:rsid w:val="004E15F9"/>
    <w:rsid w:val="004E386F"/>
    <w:rsid w:val="004E51A9"/>
    <w:rsid w:val="004E5B5C"/>
    <w:rsid w:val="004E6266"/>
    <w:rsid w:val="004F3034"/>
    <w:rsid w:val="004F3058"/>
    <w:rsid w:val="004F409F"/>
    <w:rsid w:val="004F464B"/>
    <w:rsid w:val="004F54BC"/>
    <w:rsid w:val="004F6957"/>
    <w:rsid w:val="004F7495"/>
    <w:rsid w:val="00501E09"/>
    <w:rsid w:val="00503CBA"/>
    <w:rsid w:val="00505781"/>
    <w:rsid w:val="00505DB5"/>
    <w:rsid w:val="005070E0"/>
    <w:rsid w:val="0050770C"/>
    <w:rsid w:val="00510157"/>
    <w:rsid w:val="005115FA"/>
    <w:rsid w:val="00515D66"/>
    <w:rsid w:val="00515FD4"/>
    <w:rsid w:val="005165B7"/>
    <w:rsid w:val="00521194"/>
    <w:rsid w:val="005211F5"/>
    <w:rsid w:val="00521DBC"/>
    <w:rsid w:val="0052259D"/>
    <w:rsid w:val="005227FD"/>
    <w:rsid w:val="00523100"/>
    <w:rsid w:val="00523A93"/>
    <w:rsid w:val="00526B24"/>
    <w:rsid w:val="0052731B"/>
    <w:rsid w:val="00527425"/>
    <w:rsid w:val="00527E42"/>
    <w:rsid w:val="00531A9A"/>
    <w:rsid w:val="00533160"/>
    <w:rsid w:val="00534073"/>
    <w:rsid w:val="0053496B"/>
    <w:rsid w:val="00536FA4"/>
    <w:rsid w:val="00540619"/>
    <w:rsid w:val="00541AC8"/>
    <w:rsid w:val="00541B04"/>
    <w:rsid w:val="00541BCB"/>
    <w:rsid w:val="00542D7B"/>
    <w:rsid w:val="00543E59"/>
    <w:rsid w:val="00544624"/>
    <w:rsid w:val="005452E8"/>
    <w:rsid w:val="00546F9B"/>
    <w:rsid w:val="00550512"/>
    <w:rsid w:val="00550593"/>
    <w:rsid w:val="0055253A"/>
    <w:rsid w:val="00553F96"/>
    <w:rsid w:val="00554B9A"/>
    <w:rsid w:val="0055703B"/>
    <w:rsid w:val="005624EF"/>
    <w:rsid w:val="00565350"/>
    <w:rsid w:val="0056778B"/>
    <w:rsid w:val="00570561"/>
    <w:rsid w:val="005716D5"/>
    <w:rsid w:val="005733F8"/>
    <w:rsid w:val="0057387B"/>
    <w:rsid w:val="00573FE6"/>
    <w:rsid w:val="00575BE6"/>
    <w:rsid w:val="00576996"/>
    <w:rsid w:val="00577CD3"/>
    <w:rsid w:val="005801D7"/>
    <w:rsid w:val="00582068"/>
    <w:rsid w:val="0058527F"/>
    <w:rsid w:val="0058538E"/>
    <w:rsid w:val="00585AD1"/>
    <w:rsid w:val="0058626F"/>
    <w:rsid w:val="00586BF7"/>
    <w:rsid w:val="005876C2"/>
    <w:rsid w:val="00587CFC"/>
    <w:rsid w:val="00590332"/>
    <w:rsid w:val="005924DC"/>
    <w:rsid w:val="00592D75"/>
    <w:rsid w:val="00594B25"/>
    <w:rsid w:val="00594D56"/>
    <w:rsid w:val="005968F0"/>
    <w:rsid w:val="00596966"/>
    <w:rsid w:val="005A141D"/>
    <w:rsid w:val="005A16B0"/>
    <w:rsid w:val="005A1E3B"/>
    <w:rsid w:val="005A2968"/>
    <w:rsid w:val="005A2A69"/>
    <w:rsid w:val="005A39CB"/>
    <w:rsid w:val="005A3A0F"/>
    <w:rsid w:val="005A46D8"/>
    <w:rsid w:val="005A488F"/>
    <w:rsid w:val="005A4A86"/>
    <w:rsid w:val="005A4DD0"/>
    <w:rsid w:val="005A7669"/>
    <w:rsid w:val="005A78C4"/>
    <w:rsid w:val="005B081B"/>
    <w:rsid w:val="005B0D9E"/>
    <w:rsid w:val="005B1EBC"/>
    <w:rsid w:val="005B2430"/>
    <w:rsid w:val="005B3952"/>
    <w:rsid w:val="005B59EC"/>
    <w:rsid w:val="005C13A8"/>
    <w:rsid w:val="005C22BD"/>
    <w:rsid w:val="005C40F2"/>
    <w:rsid w:val="005C550A"/>
    <w:rsid w:val="005C590E"/>
    <w:rsid w:val="005D0753"/>
    <w:rsid w:val="005D0B2E"/>
    <w:rsid w:val="005D10C7"/>
    <w:rsid w:val="005D2A0D"/>
    <w:rsid w:val="005D315D"/>
    <w:rsid w:val="005D49E6"/>
    <w:rsid w:val="005D6E03"/>
    <w:rsid w:val="005D71E3"/>
    <w:rsid w:val="005D7FBB"/>
    <w:rsid w:val="005E0084"/>
    <w:rsid w:val="005E41AC"/>
    <w:rsid w:val="005E43C0"/>
    <w:rsid w:val="005E490A"/>
    <w:rsid w:val="005E6AFE"/>
    <w:rsid w:val="005E7250"/>
    <w:rsid w:val="005E7273"/>
    <w:rsid w:val="005F2DE0"/>
    <w:rsid w:val="005F4781"/>
    <w:rsid w:val="005F47B6"/>
    <w:rsid w:val="005F6A33"/>
    <w:rsid w:val="005F6E78"/>
    <w:rsid w:val="005F70EB"/>
    <w:rsid w:val="006000C8"/>
    <w:rsid w:val="00600536"/>
    <w:rsid w:val="00600C73"/>
    <w:rsid w:val="00600F56"/>
    <w:rsid w:val="006014E7"/>
    <w:rsid w:val="00606208"/>
    <w:rsid w:val="00607596"/>
    <w:rsid w:val="0060762B"/>
    <w:rsid w:val="006108BD"/>
    <w:rsid w:val="00611027"/>
    <w:rsid w:val="00611F81"/>
    <w:rsid w:val="00611FE0"/>
    <w:rsid w:val="006143E5"/>
    <w:rsid w:val="00615E7E"/>
    <w:rsid w:val="00615EB8"/>
    <w:rsid w:val="00617AB2"/>
    <w:rsid w:val="00620506"/>
    <w:rsid w:val="00622600"/>
    <w:rsid w:val="0062293B"/>
    <w:rsid w:val="00622A6E"/>
    <w:rsid w:val="006238A8"/>
    <w:rsid w:val="00623906"/>
    <w:rsid w:val="00624386"/>
    <w:rsid w:val="006245B8"/>
    <w:rsid w:val="0062554A"/>
    <w:rsid w:val="00626454"/>
    <w:rsid w:val="00626733"/>
    <w:rsid w:val="00626D75"/>
    <w:rsid w:val="00627ADE"/>
    <w:rsid w:val="0063177E"/>
    <w:rsid w:val="00631E26"/>
    <w:rsid w:val="0063391D"/>
    <w:rsid w:val="0063477B"/>
    <w:rsid w:val="006368BB"/>
    <w:rsid w:val="006370C8"/>
    <w:rsid w:val="006372AD"/>
    <w:rsid w:val="00640400"/>
    <w:rsid w:val="00641A6B"/>
    <w:rsid w:val="00642684"/>
    <w:rsid w:val="0064594A"/>
    <w:rsid w:val="0064652A"/>
    <w:rsid w:val="00646924"/>
    <w:rsid w:val="00647499"/>
    <w:rsid w:val="006479BA"/>
    <w:rsid w:val="00647E29"/>
    <w:rsid w:val="00652558"/>
    <w:rsid w:val="00652977"/>
    <w:rsid w:val="00652BBA"/>
    <w:rsid w:val="00652D22"/>
    <w:rsid w:val="0065330B"/>
    <w:rsid w:val="006538EF"/>
    <w:rsid w:val="0065519E"/>
    <w:rsid w:val="00655654"/>
    <w:rsid w:val="006558F4"/>
    <w:rsid w:val="00655B70"/>
    <w:rsid w:val="00655C1E"/>
    <w:rsid w:val="00662758"/>
    <w:rsid w:val="00663816"/>
    <w:rsid w:val="00664692"/>
    <w:rsid w:val="00664A52"/>
    <w:rsid w:val="0066545F"/>
    <w:rsid w:val="006660F3"/>
    <w:rsid w:val="00666CE4"/>
    <w:rsid w:val="006700B8"/>
    <w:rsid w:val="006710E9"/>
    <w:rsid w:val="00671DBC"/>
    <w:rsid w:val="0067234D"/>
    <w:rsid w:val="00673552"/>
    <w:rsid w:val="0067432C"/>
    <w:rsid w:val="006756B9"/>
    <w:rsid w:val="006774D8"/>
    <w:rsid w:val="006778A6"/>
    <w:rsid w:val="0068061F"/>
    <w:rsid w:val="0068137B"/>
    <w:rsid w:val="00682A65"/>
    <w:rsid w:val="00684C77"/>
    <w:rsid w:val="00686535"/>
    <w:rsid w:val="00687AE6"/>
    <w:rsid w:val="00691CEB"/>
    <w:rsid w:val="00693C64"/>
    <w:rsid w:val="006942E8"/>
    <w:rsid w:val="00694F16"/>
    <w:rsid w:val="00695CC1"/>
    <w:rsid w:val="00696BCB"/>
    <w:rsid w:val="006A15EF"/>
    <w:rsid w:val="006A3C39"/>
    <w:rsid w:val="006A45E9"/>
    <w:rsid w:val="006A6AF3"/>
    <w:rsid w:val="006B045B"/>
    <w:rsid w:val="006B13BA"/>
    <w:rsid w:val="006B238F"/>
    <w:rsid w:val="006B746D"/>
    <w:rsid w:val="006C1712"/>
    <w:rsid w:val="006C1BDF"/>
    <w:rsid w:val="006C42A2"/>
    <w:rsid w:val="006C63FD"/>
    <w:rsid w:val="006C7926"/>
    <w:rsid w:val="006C7B3F"/>
    <w:rsid w:val="006D0087"/>
    <w:rsid w:val="006D2A42"/>
    <w:rsid w:val="006D2AA5"/>
    <w:rsid w:val="006D50E4"/>
    <w:rsid w:val="006D54AB"/>
    <w:rsid w:val="006D5AD4"/>
    <w:rsid w:val="006E11D7"/>
    <w:rsid w:val="006E267B"/>
    <w:rsid w:val="006E29B4"/>
    <w:rsid w:val="006E3043"/>
    <w:rsid w:val="006E378D"/>
    <w:rsid w:val="006E5212"/>
    <w:rsid w:val="006E540F"/>
    <w:rsid w:val="006F0B7F"/>
    <w:rsid w:val="006F12A8"/>
    <w:rsid w:val="006F1A63"/>
    <w:rsid w:val="006F3B3B"/>
    <w:rsid w:val="006F3F00"/>
    <w:rsid w:val="006F724B"/>
    <w:rsid w:val="006F73E2"/>
    <w:rsid w:val="006F76CB"/>
    <w:rsid w:val="007021AE"/>
    <w:rsid w:val="0070296A"/>
    <w:rsid w:val="00702AF5"/>
    <w:rsid w:val="00704783"/>
    <w:rsid w:val="00704805"/>
    <w:rsid w:val="0070516D"/>
    <w:rsid w:val="00705F22"/>
    <w:rsid w:val="00705F89"/>
    <w:rsid w:val="00706024"/>
    <w:rsid w:val="00706F6A"/>
    <w:rsid w:val="0070728B"/>
    <w:rsid w:val="007072A1"/>
    <w:rsid w:val="00710E10"/>
    <w:rsid w:val="007127FF"/>
    <w:rsid w:val="00712908"/>
    <w:rsid w:val="007153B8"/>
    <w:rsid w:val="00717765"/>
    <w:rsid w:val="007205EE"/>
    <w:rsid w:val="007207D7"/>
    <w:rsid w:val="00720D3A"/>
    <w:rsid w:val="00720F71"/>
    <w:rsid w:val="007211B2"/>
    <w:rsid w:val="00721CE0"/>
    <w:rsid w:val="00726270"/>
    <w:rsid w:val="00727FA7"/>
    <w:rsid w:val="0073060B"/>
    <w:rsid w:val="00730908"/>
    <w:rsid w:val="00732A60"/>
    <w:rsid w:val="00732B0F"/>
    <w:rsid w:val="007339CE"/>
    <w:rsid w:val="007344AE"/>
    <w:rsid w:val="007349C5"/>
    <w:rsid w:val="00734B01"/>
    <w:rsid w:val="00734B36"/>
    <w:rsid w:val="0073663B"/>
    <w:rsid w:val="00736B1E"/>
    <w:rsid w:val="007371BE"/>
    <w:rsid w:val="00737235"/>
    <w:rsid w:val="007412BB"/>
    <w:rsid w:val="007416D6"/>
    <w:rsid w:val="0074190A"/>
    <w:rsid w:val="00741C05"/>
    <w:rsid w:val="00742087"/>
    <w:rsid w:val="00742874"/>
    <w:rsid w:val="00744944"/>
    <w:rsid w:val="00745378"/>
    <w:rsid w:val="0074594A"/>
    <w:rsid w:val="00745DC2"/>
    <w:rsid w:val="00746090"/>
    <w:rsid w:val="007470F3"/>
    <w:rsid w:val="007478B3"/>
    <w:rsid w:val="00747F8E"/>
    <w:rsid w:val="00750223"/>
    <w:rsid w:val="00750535"/>
    <w:rsid w:val="00752A3C"/>
    <w:rsid w:val="00752C01"/>
    <w:rsid w:val="00753E01"/>
    <w:rsid w:val="0075460C"/>
    <w:rsid w:val="00754FC4"/>
    <w:rsid w:val="00761D09"/>
    <w:rsid w:val="007632DA"/>
    <w:rsid w:val="00763D5D"/>
    <w:rsid w:val="00764793"/>
    <w:rsid w:val="00765315"/>
    <w:rsid w:val="0076614F"/>
    <w:rsid w:val="00766FDC"/>
    <w:rsid w:val="007672D8"/>
    <w:rsid w:val="0077073F"/>
    <w:rsid w:val="00772873"/>
    <w:rsid w:val="00773A3B"/>
    <w:rsid w:val="00773F45"/>
    <w:rsid w:val="00773F8B"/>
    <w:rsid w:val="00775320"/>
    <w:rsid w:val="00776029"/>
    <w:rsid w:val="007760F8"/>
    <w:rsid w:val="00777A00"/>
    <w:rsid w:val="007818EE"/>
    <w:rsid w:val="007820EE"/>
    <w:rsid w:val="00782476"/>
    <w:rsid w:val="007826B3"/>
    <w:rsid w:val="00783CCD"/>
    <w:rsid w:val="007900D4"/>
    <w:rsid w:val="00790F2F"/>
    <w:rsid w:val="00791AE6"/>
    <w:rsid w:val="007920DD"/>
    <w:rsid w:val="007934E1"/>
    <w:rsid w:val="00794782"/>
    <w:rsid w:val="00794942"/>
    <w:rsid w:val="00795C29"/>
    <w:rsid w:val="00795FFF"/>
    <w:rsid w:val="0079659A"/>
    <w:rsid w:val="0079746C"/>
    <w:rsid w:val="007A0077"/>
    <w:rsid w:val="007A0212"/>
    <w:rsid w:val="007A0B2E"/>
    <w:rsid w:val="007A195A"/>
    <w:rsid w:val="007A31F6"/>
    <w:rsid w:val="007A3489"/>
    <w:rsid w:val="007A53D6"/>
    <w:rsid w:val="007A5623"/>
    <w:rsid w:val="007A5D17"/>
    <w:rsid w:val="007A648A"/>
    <w:rsid w:val="007A6D2F"/>
    <w:rsid w:val="007A714A"/>
    <w:rsid w:val="007A75D5"/>
    <w:rsid w:val="007B1035"/>
    <w:rsid w:val="007B1641"/>
    <w:rsid w:val="007B2303"/>
    <w:rsid w:val="007B3000"/>
    <w:rsid w:val="007B325C"/>
    <w:rsid w:val="007B3D65"/>
    <w:rsid w:val="007B4060"/>
    <w:rsid w:val="007B5FE3"/>
    <w:rsid w:val="007B6804"/>
    <w:rsid w:val="007B6A20"/>
    <w:rsid w:val="007B748E"/>
    <w:rsid w:val="007C0F4C"/>
    <w:rsid w:val="007C0F7A"/>
    <w:rsid w:val="007C15D5"/>
    <w:rsid w:val="007C1D17"/>
    <w:rsid w:val="007C4488"/>
    <w:rsid w:val="007C47A6"/>
    <w:rsid w:val="007C753E"/>
    <w:rsid w:val="007D1123"/>
    <w:rsid w:val="007D143A"/>
    <w:rsid w:val="007D1DEC"/>
    <w:rsid w:val="007D1DFB"/>
    <w:rsid w:val="007D29E3"/>
    <w:rsid w:val="007D2E87"/>
    <w:rsid w:val="007D368D"/>
    <w:rsid w:val="007D3C45"/>
    <w:rsid w:val="007D4137"/>
    <w:rsid w:val="007D4CA2"/>
    <w:rsid w:val="007D7CF6"/>
    <w:rsid w:val="007E11A5"/>
    <w:rsid w:val="007E15C7"/>
    <w:rsid w:val="007E231A"/>
    <w:rsid w:val="007E2CA6"/>
    <w:rsid w:val="007E3394"/>
    <w:rsid w:val="007E3407"/>
    <w:rsid w:val="007E3A75"/>
    <w:rsid w:val="007E3D22"/>
    <w:rsid w:val="007E4315"/>
    <w:rsid w:val="007E4329"/>
    <w:rsid w:val="007E7E12"/>
    <w:rsid w:val="007F03A8"/>
    <w:rsid w:val="007F05C4"/>
    <w:rsid w:val="007F0BBA"/>
    <w:rsid w:val="007F1042"/>
    <w:rsid w:val="007F2774"/>
    <w:rsid w:val="007F5AB6"/>
    <w:rsid w:val="007F67C1"/>
    <w:rsid w:val="007F6FE4"/>
    <w:rsid w:val="007F7900"/>
    <w:rsid w:val="00803241"/>
    <w:rsid w:val="00803869"/>
    <w:rsid w:val="00804A3F"/>
    <w:rsid w:val="0080529C"/>
    <w:rsid w:val="00805AD9"/>
    <w:rsid w:val="00811D3C"/>
    <w:rsid w:val="00811F0E"/>
    <w:rsid w:val="00812101"/>
    <w:rsid w:val="00812321"/>
    <w:rsid w:val="008129A7"/>
    <w:rsid w:val="00813844"/>
    <w:rsid w:val="0081451F"/>
    <w:rsid w:val="008152B3"/>
    <w:rsid w:val="0081555A"/>
    <w:rsid w:val="00815886"/>
    <w:rsid w:val="00817923"/>
    <w:rsid w:val="008210DD"/>
    <w:rsid w:val="00821F55"/>
    <w:rsid w:val="008236D7"/>
    <w:rsid w:val="00825345"/>
    <w:rsid w:val="00830186"/>
    <w:rsid w:val="00830541"/>
    <w:rsid w:val="00830D05"/>
    <w:rsid w:val="00831C59"/>
    <w:rsid w:val="0083225A"/>
    <w:rsid w:val="00832924"/>
    <w:rsid w:val="00835F84"/>
    <w:rsid w:val="00837597"/>
    <w:rsid w:val="0084002F"/>
    <w:rsid w:val="008405ED"/>
    <w:rsid w:val="00843272"/>
    <w:rsid w:val="0084369E"/>
    <w:rsid w:val="00843B64"/>
    <w:rsid w:val="0084461C"/>
    <w:rsid w:val="00844CF5"/>
    <w:rsid w:val="00844FDB"/>
    <w:rsid w:val="00850D34"/>
    <w:rsid w:val="0085130D"/>
    <w:rsid w:val="008521B4"/>
    <w:rsid w:val="00853398"/>
    <w:rsid w:val="00854A49"/>
    <w:rsid w:val="00855E8C"/>
    <w:rsid w:val="008571CC"/>
    <w:rsid w:val="008601B1"/>
    <w:rsid w:val="00860B7B"/>
    <w:rsid w:val="00861A00"/>
    <w:rsid w:val="00861A14"/>
    <w:rsid w:val="00861C27"/>
    <w:rsid w:val="0086247F"/>
    <w:rsid w:val="00862B44"/>
    <w:rsid w:val="00863137"/>
    <w:rsid w:val="0086530A"/>
    <w:rsid w:val="008676A4"/>
    <w:rsid w:val="008700C5"/>
    <w:rsid w:val="00871328"/>
    <w:rsid w:val="00872729"/>
    <w:rsid w:val="00872905"/>
    <w:rsid w:val="00872D85"/>
    <w:rsid w:val="0087307E"/>
    <w:rsid w:val="00874247"/>
    <w:rsid w:val="00874781"/>
    <w:rsid w:val="008751F1"/>
    <w:rsid w:val="0087731E"/>
    <w:rsid w:val="00877D0B"/>
    <w:rsid w:val="00881A21"/>
    <w:rsid w:val="00881CCB"/>
    <w:rsid w:val="00882245"/>
    <w:rsid w:val="00882711"/>
    <w:rsid w:val="00883EF3"/>
    <w:rsid w:val="00884E55"/>
    <w:rsid w:val="0088783B"/>
    <w:rsid w:val="008902C1"/>
    <w:rsid w:val="008906D1"/>
    <w:rsid w:val="008919BD"/>
    <w:rsid w:val="00891AF9"/>
    <w:rsid w:val="00893955"/>
    <w:rsid w:val="00893ECC"/>
    <w:rsid w:val="008956FD"/>
    <w:rsid w:val="00895A01"/>
    <w:rsid w:val="00896565"/>
    <w:rsid w:val="00896750"/>
    <w:rsid w:val="008A2C1D"/>
    <w:rsid w:val="008A45F1"/>
    <w:rsid w:val="008A563A"/>
    <w:rsid w:val="008A6384"/>
    <w:rsid w:val="008A65E3"/>
    <w:rsid w:val="008A6BBE"/>
    <w:rsid w:val="008A7335"/>
    <w:rsid w:val="008A758B"/>
    <w:rsid w:val="008B0B58"/>
    <w:rsid w:val="008B17DC"/>
    <w:rsid w:val="008B2856"/>
    <w:rsid w:val="008B5DEF"/>
    <w:rsid w:val="008B669A"/>
    <w:rsid w:val="008C330B"/>
    <w:rsid w:val="008C56CD"/>
    <w:rsid w:val="008C73BF"/>
    <w:rsid w:val="008D1501"/>
    <w:rsid w:val="008D4499"/>
    <w:rsid w:val="008D4E5B"/>
    <w:rsid w:val="008D6D5B"/>
    <w:rsid w:val="008E03DB"/>
    <w:rsid w:val="008E057A"/>
    <w:rsid w:val="008E2D7A"/>
    <w:rsid w:val="008E3E12"/>
    <w:rsid w:val="008E61D4"/>
    <w:rsid w:val="008E6284"/>
    <w:rsid w:val="008E639A"/>
    <w:rsid w:val="008E6C24"/>
    <w:rsid w:val="008E73DC"/>
    <w:rsid w:val="008F3BAF"/>
    <w:rsid w:val="008F6071"/>
    <w:rsid w:val="008F70BA"/>
    <w:rsid w:val="008F7800"/>
    <w:rsid w:val="00901101"/>
    <w:rsid w:val="0090133E"/>
    <w:rsid w:val="009030FF"/>
    <w:rsid w:val="0090362B"/>
    <w:rsid w:val="00903A91"/>
    <w:rsid w:val="009048B8"/>
    <w:rsid w:val="00907E7B"/>
    <w:rsid w:val="00910328"/>
    <w:rsid w:val="0091144B"/>
    <w:rsid w:val="009114C0"/>
    <w:rsid w:val="00911E68"/>
    <w:rsid w:val="00912CDC"/>
    <w:rsid w:val="0091339A"/>
    <w:rsid w:val="00913445"/>
    <w:rsid w:val="009201C4"/>
    <w:rsid w:val="00920CBB"/>
    <w:rsid w:val="00922A7E"/>
    <w:rsid w:val="00922E62"/>
    <w:rsid w:val="00923AC8"/>
    <w:rsid w:val="00925A54"/>
    <w:rsid w:val="00925CB9"/>
    <w:rsid w:val="00925D1D"/>
    <w:rsid w:val="00925F6B"/>
    <w:rsid w:val="009268E7"/>
    <w:rsid w:val="009278F5"/>
    <w:rsid w:val="00927E81"/>
    <w:rsid w:val="00931155"/>
    <w:rsid w:val="00931270"/>
    <w:rsid w:val="00931704"/>
    <w:rsid w:val="0093171C"/>
    <w:rsid w:val="009318F4"/>
    <w:rsid w:val="009325BB"/>
    <w:rsid w:val="0093266B"/>
    <w:rsid w:val="0093277E"/>
    <w:rsid w:val="0093746C"/>
    <w:rsid w:val="00941393"/>
    <w:rsid w:val="00941C50"/>
    <w:rsid w:val="009427D0"/>
    <w:rsid w:val="00942DB4"/>
    <w:rsid w:val="009437A0"/>
    <w:rsid w:val="009461AD"/>
    <w:rsid w:val="0094665D"/>
    <w:rsid w:val="00950AEB"/>
    <w:rsid w:val="009528F4"/>
    <w:rsid w:val="00952AD5"/>
    <w:rsid w:val="00954D43"/>
    <w:rsid w:val="009556DD"/>
    <w:rsid w:val="0096020B"/>
    <w:rsid w:val="009603D6"/>
    <w:rsid w:val="00961560"/>
    <w:rsid w:val="00962025"/>
    <w:rsid w:val="0096316A"/>
    <w:rsid w:val="0096363D"/>
    <w:rsid w:val="009636F1"/>
    <w:rsid w:val="009642CB"/>
    <w:rsid w:val="009655A0"/>
    <w:rsid w:val="00966695"/>
    <w:rsid w:val="00966ED9"/>
    <w:rsid w:val="00967270"/>
    <w:rsid w:val="009704E1"/>
    <w:rsid w:val="0097170E"/>
    <w:rsid w:val="009728D4"/>
    <w:rsid w:val="00973AF8"/>
    <w:rsid w:val="00974195"/>
    <w:rsid w:val="00974697"/>
    <w:rsid w:val="00974F18"/>
    <w:rsid w:val="00974FAC"/>
    <w:rsid w:val="00975387"/>
    <w:rsid w:val="00982B84"/>
    <w:rsid w:val="00982C80"/>
    <w:rsid w:val="00984475"/>
    <w:rsid w:val="0098696D"/>
    <w:rsid w:val="00987142"/>
    <w:rsid w:val="00991217"/>
    <w:rsid w:val="00992151"/>
    <w:rsid w:val="00993C56"/>
    <w:rsid w:val="009962F0"/>
    <w:rsid w:val="009976C7"/>
    <w:rsid w:val="00997B2A"/>
    <w:rsid w:val="009A02DF"/>
    <w:rsid w:val="009A05ED"/>
    <w:rsid w:val="009A08A1"/>
    <w:rsid w:val="009A1E0E"/>
    <w:rsid w:val="009A2476"/>
    <w:rsid w:val="009A4682"/>
    <w:rsid w:val="009A6107"/>
    <w:rsid w:val="009A6ABE"/>
    <w:rsid w:val="009A6AD3"/>
    <w:rsid w:val="009B3654"/>
    <w:rsid w:val="009B3EAF"/>
    <w:rsid w:val="009B4548"/>
    <w:rsid w:val="009B4ABE"/>
    <w:rsid w:val="009B4CDC"/>
    <w:rsid w:val="009B63E3"/>
    <w:rsid w:val="009B76CC"/>
    <w:rsid w:val="009C1DE9"/>
    <w:rsid w:val="009C2784"/>
    <w:rsid w:val="009C3701"/>
    <w:rsid w:val="009C6FE0"/>
    <w:rsid w:val="009D0A9E"/>
    <w:rsid w:val="009D1D02"/>
    <w:rsid w:val="009D2F95"/>
    <w:rsid w:val="009D3B55"/>
    <w:rsid w:val="009D50F8"/>
    <w:rsid w:val="009D5D01"/>
    <w:rsid w:val="009D64D6"/>
    <w:rsid w:val="009D6735"/>
    <w:rsid w:val="009E0183"/>
    <w:rsid w:val="009E047E"/>
    <w:rsid w:val="009E1BAD"/>
    <w:rsid w:val="009E707F"/>
    <w:rsid w:val="009E7628"/>
    <w:rsid w:val="009F07C8"/>
    <w:rsid w:val="00A012DF"/>
    <w:rsid w:val="00A02C44"/>
    <w:rsid w:val="00A03261"/>
    <w:rsid w:val="00A043D9"/>
    <w:rsid w:val="00A05195"/>
    <w:rsid w:val="00A05E1A"/>
    <w:rsid w:val="00A06877"/>
    <w:rsid w:val="00A06ED6"/>
    <w:rsid w:val="00A13B61"/>
    <w:rsid w:val="00A15903"/>
    <w:rsid w:val="00A15BFE"/>
    <w:rsid w:val="00A15F0F"/>
    <w:rsid w:val="00A15FC6"/>
    <w:rsid w:val="00A17141"/>
    <w:rsid w:val="00A1718E"/>
    <w:rsid w:val="00A17BF7"/>
    <w:rsid w:val="00A17DBA"/>
    <w:rsid w:val="00A20D9F"/>
    <w:rsid w:val="00A22D55"/>
    <w:rsid w:val="00A23711"/>
    <w:rsid w:val="00A23ACB"/>
    <w:rsid w:val="00A249C8"/>
    <w:rsid w:val="00A25EE8"/>
    <w:rsid w:val="00A2691F"/>
    <w:rsid w:val="00A27658"/>
    <w:rsid w:val="00A30333"/>
    <w:rsid w:val="00A3048A"/>
    <w:rsid w:val="00A3144E"/>
    <w:rsid w:val="00A32570"/>
    <w:rsid w:val="00A32DDF"/>
    <w:rsid w:val="00A33962"/>
    <w:rsid w:val="00A34665"/>
    <w:rsid w:val="00A34972"/>
    <w:rsid w:val="00A34E84"/>
    <w:rsid w:val="00A359CD"/>
    <w:rsid w:val="00A36195"/>
    <w:rsid w:val="00A40388"/>
    <w:rsid w:val="00A42E91"/>
    <w:rsid w:val="00A43404"/>
    <w:rsid w:val="00A44511"/>
    <w:rsid w:val="00A454A7"/>
    <w:rsid w:val="00A46B8D"/>
    <w:rsid w:val="00A51C57"/>
    <w:rsid w:val="00A535D3"/>
    <w:rsid w:val="00A554C9"/>
    <w:rsid w:val="00A554D4"/>
    <w:rsid w:val="00A606B4"/>
    <w:rsid w:val="00A6117B"/>
    <w:rsid w:val="00A6190B"/>
    <w:rsid w:val="00A63AA4"/>
    <w:rsid w:val="00A64027"/>
    <w:rsid w:val="00A6473F"/>
    <w:rsid w:val="00A658FA"/>
    <w:rsid w:val="00A664CC"/>
    <w:rsid w:val="00A67975"/>
    <w:rsid w:val="00A70576"/>
    <w:rsid w:val="00A7093C"/>
    <w:rsid w:val="00A748EF"/>
    <w:rsid w:val="00A74EDC"/>
    <w:rsid w:val="00A751CD"/>
    <w:rsid w:val="00A75B6B"/>
    <w:rsid w:val="00A75DFA"/>
    <w:rsid w:val="00A770C2"/>
    <w:rsid w:val="00A81023"/>
    <w:rsid w:val="00A82FEE"/>
    <w:rsid w:val="00A86376"/>
    <w:rsid w:val="00A87E43"/>
    <w:rsid w:val="00A90C79"/>
    <w:rsid w:val="00A92B64"/>
    <w:rsid w:val="00A95B5C"/>
    <w:rsid w:val="00A969E8"/>
    <w:rsid w:val="00A97367"/>
    <w:rsid w:val="00AA011C"/>
    <w:rsid w:val="00AA0428"/>
    <w:rsid w:val="00AA06D9"/>
    <w:rsid w:val="00AA1AF4"/>
    <w:rsid w:val="00AA32DB"/>
    <w:rsid w:val="00AA5256"/>
    <w:rsid w:val="00AA59D6"/>
    <w:rsid w:val="00AA7F4B"/>
    <w:rsid w:val="00AB04D5"/>
    <w:rsid w:val="00AB3BCA"/>
    <w:rsid w:val="00AB5914"/>
    <w:rsid w:val="00AB7760"/>
    <w:rsid w:val="00AB7F33"/>
    <w:rsid w:val="00AC0DD0"/>
    <w:rsid w:val="00AC1A54"/>
    <w:rsid w:val="00AC24FE"/>
    <w:rsid w:val="00AC71B5"/>
    <w:rsid w:val="00AD0103"/>
    <w:rsid w:val="00AD0208"/>
    <w:rsid w:val="00AD0BA5"/>
    <w:rsid w:val="00AD1389"/>
    <w:rsid w:val="00AD36C2"/>
    <w:rsid w:val="00AD4D81"/>
    <w:rsid w:val="00AD50C4"/>
    <w:rsid w:val="00AD5337"/>
    <w:rsid w:val="00AD7016"/>
    <w:rsid w:val="00AE0F59"/>
    <w:rsid w:val="00AE256C"/>
    <w:rsid w:val="00AE4865"/>
    <w:rsid w:val="00AE493B"/>
    <w:rsid w:val="00AE4E2B"/>
    <w:rsid w:val="00AE706E"/>
    <w:rsid w:val="00AE721C"/>
    <w:rsid w:val="00AE7FF4"/>
    <w:rsid w:val="00AF0786"/>
    <w:rsid w:val="00AF1592"/>
    <w:rsid w:val="00AF21A3"/>
    <w:rsid w:val="00AF32C1"/>
    <w:rsid w:val="00AF6C42"/>
    <w:rsid w:val="00AF7532"/>
    <w:rsid w:val="00AF769A"/>
    <w:rsid w:val="00B00481"/>
    <w:rsid w:val="00B008A1"/>
    <w:rsid w:val="00B00BBD"/>
    <w:rsid w:val="00B02B14"/>
    <w:rsid w:val="00B02BDA"/>
    <w:rsid w:val="00B03ADA"/>
    <w:rsid w:val="00B05F52"/>
    <w:rsid w:val="00B06EA3"/>
    <w:rsid w:val="00B07059"/>
    <w:rsid w:val="00B1252F"/>
    <w:rsid w:val="00B14E74"/>
    <w:rsid w:val="00B15040"/>
    <w:rsid w:val="00B172D0"/>
    <w:rsid w:val="00B17C20"/>
    <w:rsid w:val="00B17D6D"/>
    <w:rsid w:val="00B17E2B"/>
    <w:rsid w:val="00B17E7E"/>
    <w:rsid w:val="00B2001D"/>
    <w:rsid w:val="00B22245"/>
    <w:rsid w:val="00B23178"/>
    <w:rsid w:val="00B241A2"/>
    <w:rsid w:val="00B241EA"/>
    <w:rsid w:val="00B257B7"/>
    <w:rsid w:val="00B27D30"/>
    <w:rsid w:val="00B30CCF"/>
    <w:rsid w:val="00B313AB"/>
    <w:rsid w:val="00B32836"/>
    <w:rsid w:val="00B328C2"/>
    <w:rsid w:val="00B3341F"/>
    <w:rsid w:val="00B339E3"/>
    <w:rsid w:val="00B3435F"/>
    <w:rsid w:val="00B348EE"/>
    <w:rsid w:val="00B3613C"/>
    <w:rsid w:val="00B431EC"/>
    <w:rsid w:val="00B43CEA"/>
    <w:rsid w:val="00B447AE"/>
    <w:rsid w:val="00B46B7F"/>
    <w:rsid w:val="00B46E08"/>
    <w:rsid w:val="00B46E96"/>
    <w:rsid w:val="00B47F5E"/>
    <w:rsid w:val="00B47F70"/>
    <w:rsid w:val="00B527A7"/>
    <w:rsid w:val="00B56861"/>
    <w:rsid w:val="00B605CA"/>
    <w:rsid w:val="00B61C6B"/>
    <w:rsid w:val="00B622AA"/>
    <w:rsid w:val="00B625F1"/>
    <w:rsid w:val="00B6261E"/>
    <w:rsid w:val="00B62A2E"/>
    <w:rsid w:val="00B633BA"/>
    <w:rsid w:val="00B64DAF"/>
    <w:rsid w:val="00B66A42"/>
    <w:rsid w:val="00B66CB3"/>
    <w:rsid w:val="00B73960"/>
    <w:rsid w:val="00B749BB"/>
    <w:rsid w:val="00B7541B"/>
    <w:rsid w:val="00B7585C"/>
    <w:rsid w:val="00B76C14"/>
    <w:rsid w:val="00B77BBC"/>
    <w:rsid w:val="00B800B8"/>
    <w:rsid w:val="00B819F2"/>
    <w:rsid w:val="00B81B1F"/>
    <w:rsid w:val="00B82BFE"/>
    <w:rsid w:val="00B84026"/>
    <w:rsid w:val="00B84E2C"/>
    <w:rsid w:val="00B84E56"/>
    <w:rsid w:val="00B8537B"/>
    <w:rsid w:val="00B85631"/>
    <w:rsid w:val="00B90F31"/>
    <w:rsid w:val="00B91B9D"/>
    <w:rsid w:val="00B92903"/>
    <w:rsid w:val="00B929F9"/>
    <w:rsid w:val="00B92F38"/>
    <w:rsid w:val="00B93F1D"/>
    <w:rsid w:val="00B94A46"/>
    <w:rsid w:val="00B9636C"/>
    <w:rsid w:val="00BA29A5"/>
    <w:rsid w:val="00BA37EB"/>
    <w:rsid w:val="00BA479A"/>
    <w:rsid w:val="00BA57FF"/>
    <w:rsid w:val="00BA79B5"/>
    <w:rsid w:val="00BB00A7"/>
    <w:rsid w:val="00BB11AC"/>
    <w:rsid w:val="00BB1F29"/>
    <w:rsid w:val="00BB3882"/>
    <w:rsid w:val="00BB42AF"/>
    <w:rsid w:val="00BB476B"/>
    <w:rsid w:val="00BB5D12"/>
    <w:rsid w:val="00BB6169"/>
    <w:rsid w:val="00BB6AAD"/>
    <w:rsid w:val="00BC0DE4"/>
    <w:rsid w:val="00BC19E5"/>
    <w:rsid w:val="00BC1BEE"/>
    <w:rsid w:val="00BC4E0E"/>
    <w:rsid w:val="00BC526D"/>
    <w:rsid w:val="00BC6465"/>
    <w:rsid w:val="00BC730D"/>
    <w:rsid w:val="00BD3630"/>
    <w:rsid w:val="00BD36A7"/>
    <w:rsid w:val="00BD481B"/>
    <w:rsid w:val="00BD4BFD"/>
    <w:rsid w:val="00BD4DB1"/>
    <w:rsid w:val="00BD51B2"/>
    <w:rsid w:val="00BD5814"/>
    <w:rsid w:val="00BE088C"/>
    <w:rsid w:val="00BE20C5"/>
    <w:rsid w:val="00BE28C1"/>
    <w:rsid w:val="00BE525B"/>
    <w:rsid w:val="00BE5EF5"/>
    <w:rsid w:val="00BE62D4"/>
    <w:rsid w:val="00BE6388"/>
    <w:rsid w:val="00BE6BCE"/>
    <w:rsid w:val="00BE71B9"/>
    <w:rsid w:val="00BF01F0"/>
    <w:rsid w:val="00BF1093"/>
    <w:rsid w:val="00BF226C"/>
    <w:rsid w:val="00BF5259"/>
    <w:rsid w:val="00BF5C7B"/>
    <w:rsid w:val="00BF6EE2"/>
    <w:rsid w:val="00C01602"/>
    <w:rsid w:val="00C0249B"/>
    <w:rsid w:val="00C0370A"/>
    <w:rsid w:val="00C03CD9"/>
    <w:rsid w:val="00C04770"/>
    <w:rsid w:val="00C051CC"/>
    <w:rsid w:val="00C05940"/>
    <w:rsid w:val="00C07435"/>
    <w:rsid w:val="00C07EB7"/>
    <w:rsid w:val="00C1041B"/>
    <w:rsid w:val="00C1186B"/>
    <w:rsid w:val="00C13271"/>
    <w:rsid w:val="00C172AC"/>
    <w:rsid w:val="00C176D1"/>
    <w:rsid w:val="00C20691"/>
    <w:rsid w:val="00C229AF"/>
    <w:rsid w:val="00C2315E"/>
    <w:rsid w:val="00C23D43"/>
    <w:rsid w:val="00C247C3"/>
    <w:rsid w:val="00C24900"/>
    <w:rsid w:val="00C25096"/>
    <w:rsid w:val="00C26389"/>
    <w:rsid w:val="00C26B86"/>
    <w:rsid w:val="00C30551"/>
    <w:rsid w:val="00C33681"/>
    <w:rsid w:val="00C3467C"/>
    <w:rsid w:val="00C3518E"/>
    <w:rsid w:val="00C35E4F"/>
    <w:rsid w:val="00C36D94"/>
    <w:rsid w:val="00C415CF"/>
    <w:rsid w:val="00C42A56"/>
    <w:rsid w:val="00C42EE0"/>
    <w:rsid w:val="00C435F7"/>
    <w:rsid w:val="00C4622F"/>
    <w:rsid w:val="00C475B4"/>
    <w:rsid w:val="00C47DFE"/>
    <w:rsid w:val="00C540E9"/>
    <w:rsid w:val="00C542B3"/>
    <w:rsid w:val="00C554A2"/>
    <w:rsid w:val="00C56705"/>
    <w:rsid w:val="00C576F2"/>
    <w:rsid w:val="00C606CA"/>
    <w:rsid w:val="00C608E7"/>
    <w:rsid w:val="00C61C78"/>
    <w:rsid w:val="00C62068"/>
    <w:rsid w:val="00C620E4"/>
    <w:rsid w:val="00C643EB"/>
    <w:rsid w:val="00C64B4B"/>
    <w:rsid w:val="00C65007"/>
    <w:rsid w:val="00C65467"/>
    <w:rsid w:val="00C655A1"/>
    <w:rsid w:val="00C6691F"/>
    <w:rsid w:val="00C66FF0"/>
    <w:rsid w:val="00C67A20"/>
    <w:rsid w:val="00C67E22"/>
    <w:rsid w:val="00C70451"/>
    <w:rsid w:val="00C70997"/>
    <w:rsid w:val="00C70E73"/>
    <w:rsid w:val="00C719CA"/>
    <w:rsid w:val="00C7381D"/>
    <w:rsid w:val="00C73C3E"/>
    <w:rsid w:val="00C73F6E"/>
    <w:rsid w:val="00C74457"/>
    <w:rsid w:val="00C74A73"/>
    <w:rsid w:val="00C74DCA"/>
    <w:rsid w:val="00C76DFD"/>
    <w:rsid w:val="00C80E4A"/>
    <w:rsid w:val="00C816A2"/>
    <w:rsid w:val="00C82380"/>
    <w:rsid w:val="00C83550"/>
    <w:rsid w:val="00C85205"/>
    <w:rsid w:val="00C8596C"/>
    <w:rsid w:val="00C85A74"/>
    <w:rsid w:val="00C87502"/>
    <w:rsid w:val="00C87EA7"/>
    <w:rsid w:val="00C91277"/>
    <w:rsid w:val="00C9145F"/>
    <w:rsid w:val="00C9159D"/>
    <w:rsid w:val="00C91AAF"/>
    <w:rsid w:val="00C95670"/>
    <w:rsid w:val="00C95814"/>
    <w:rsid w:val="00C95C35"/>
    <w:rsid w:val="00C96F18"/>
    <w:rsid w:val="00CA1AC2"/>
    <w:rsid w:val="00CA1F9C"/>
    <w:rsid w:val="00CA65BB"/>
    <w:rsid w:val="00CA7397"/>
    <w:rsid w:val="00CA75F6"/>
    <w:rsid w:val="00CB1554"/>
    <w:rsid w:val="00CB2177"/>
    <w:rsid w:val="00CB3788"/>
    <w:rsid w:val="00CB4593"/>
    <w:rsid w:val="00CB6007"/>
    <w:rsid w:val="00CB7EA5"/>
    <w:rsid w:val="00CC08BF"/>
    <w:rsid w:val="00CC08C6"/>
    <w:rsid w:val="00CC0AB3"/>
    <w:rsid w:val="00CC0E97"/>
    <w:rsid w:val="00CC12D0"/>
    <w:rsid w:val="00CC1718"/>
    <w:rsid w:val="00CC19E2"/>
    <w:rsid w:val="00CC30C1"/>
    <w:rsid w:val="00CC3217"/>
    <w:rsid w:val="00CC39C4"/>
    <w:rsid w:val="00CC3C20"/>
    <w:rsid w:val="00CC48B6"/>
    <w:rsid w:val="00CC662B"/>
    <w:rsid w:val="00CC70DC"/>
    <w:rsid w:val="00CD1578"/>
    <w:rsid w:val="00CD374F"/>
    <w:rsid w:val="00CD3B67"/>
    <w:rsid w:val="00CD4B50"/>
    <w:rsid w:val="00CD4EB5"/>
    <w:rsid w:val="00CD526E"/>
    <w:rsid w:val="00CD57E5"/>
    <w:rsid w:val="00CD661A"/>
    <w:rsid w:val="00CD7676"/>
    <w:rsid w:val="00CD77E7"/>
    <w:rsid w:val="00CD7859"/>
    <w:rsid w:val="00CE0743"/>
    <w:rsid w:val="00CE1CD1"/>
    <w:rsid w:val="00CE1FA6"/>
    <w:rsid w:val="00CE26D2"/>
    <w:rsid w:val="00CE356E"/>
    <w:rsid w:val="00CE38DF"/>
    <w:rsid w:val="00CE47B4"/>
    <w:rsid w:val="00CE54DB"/>
    <w:rsid w:val="00CE5FB2"/>
    <w:rsid w:val="00CE6EF6"/>
    <w:rsid w:val="00CF1C8D"/>
    <w:rsid w:val="00CF3FAD"/>
    <w:rsid w:val="00CF5268"/>
    <w:rsid w:val="00CF75A5"/>
    <w:rsid w:val="00D039DD"/>
    <w:rsid w:val="00D03A03"/>
    <w:rsid w:val="00D03CDB"/>
    <w:rsid w:val="00D0418F"/>
    <w:rsid w:val="00D05F32"/>
    <w:rsid w:val="00D07C57"/>
    <w:rsid w:val="00D108FE"/>
    <w:rsid w:val="00D12EDD"/>
    <w:rsid w:val="00D13122"/>
    <w:rsid w:val="00D13833"/>
    <w:rsid w:val="00D1485F"/>
    <w:rsid w:val="00D14B46"/>
    <w:rsid w:val="00D17038"/>
    <w:rsid w:val="00D17F71"/>
    <w:rsid w:val="00D232DC"/>
    <w:rsid w:val="00D236B1"/>
    <w:rsid w:val="00D23922"/>
    <w:rsid w:val="00D23D77"/>
    <w:rsid w:val="00D23FD3"/>
    <w:rsid w:val="00D2431C"/>
    <w:rsid w:val="00D2579F"/>
    <w:rsid w:val="00D266B3"/>
    <w:rsid w:val="00D266B6"/>
    <w:rsid w:val="00D26963"/>
    <w:rsid w:val="00D26C4A"/>
    <w:rsid w:val="00D3059D"/>
    <w:rsid w:val="00D3177D"/>
    <w:rsid w:val="00D344CF"/>
    <w:rsid w:val="00D348B0"/>
    <w:rsid w:val="00D37A2A"/>
    <w:rsid w:val="00D41967"/>
    <w:rsid w:val="00D41B06"/>
    <w:rsid w:val="00D445B9"/>
    <w:rsid w:val="00D45013"/>
    <w:rsid w:val="00D46F08"/>
    <w:rsid w:val="00D472B0"/>
    <w:rsid w:val="00D47AD0"/>
    <w:rsid w:val="00D500FD"/>
    <w:rsid w:val="00D50A97"/>
    <w:rsid w:val="00D527AF"/>
    <w:rsid w:val="00D53B6F"/>
    <w:rsid w:val="00D54409"/>
    <w:rsid w:val="00D5565E"/>
    <w:rsid w:val="00D56274"/>
    <w:rsid w:val="00D56ED4"/>
    <w:rsid w:val="00D61A1D"/>
    <w:rsid w:val="00D6234B"/>
    <w:rsid w:val="00D627C2"/>
    <w:rsid w:val="00D64B58"/>
    <w:rsid w:val="00D6553C"/>
    <w:rsid w:val="00D65F76"/>
    <w:rsid w:val="00D66527"/>
    <w:rsid w:val="00D6655F"/>
    <w:rsid w:val="00D67DE6"/>
    <w:rsid w:val="00D702A2"/>
    <w:rsid w:val="00D702B4"/>
    <w:rsid w:val="00D71901"/>
    <w:rsid w:val="00D71A89"/>
    <w:rsid w:val="00D72E1C"/>
    <w:rsid w:val="00D741D5"/>
    <w:rsid w:val="00D7423C"/>
    <w:rsid w:val="00D74EFE"/>
    <w:rsid w:val="00D7564A"/>
    <w:rsid w:val="00D768B7"/>
    <w:rsid w:val="00D77335"/>
    <w:rsid w:val="00D7769E"/>
    <w:rsid w:val="00D77886"/>
    <w:rsid w:val="00D77B72"/>
    <w:rsid w:val="00D8014B"/>
    <w:rsid w:val="00D80543"/>
    <w:rsid w:val="00D81245"/>
    <w:rsid w:val="00D81D27"/>
    <w:rsid w:val="00D82909"/>
    <w:rsid w:val="00D82AF6"/>
    <w:rsid w:val="00D8333A"/>
    <w:rsid w:val="00D833B3"/>
    <w:rsid w:val="00D83CC3"/>
    <w:rsid w:val="00D843EE"/>
    <w:rsid w:val="00D84854"/>
    <w:rsid w:val="00D8585B"/>
    <w:rsid w:val="00D86414"/>
    <w:rsid w:val="00D90A19"/>
    <w:rsid w:val="00D9340C"/>
    <w:rsid w:val="00D936E7"/>
    <w:rsid w:val="00D94A88"/>
    <w:rsid w:val="00D9558D"/>
    <w:rsid w:val="00DA29F5"/>
    <w:rsid w:val="00DA2FA3"/>
    <w:rsid w:val="00DA3323"/>
    <w:rsid w:val="00DA567F"/>
    <w:rsid w:val="00DA5F0A"/>
    <w:rsid w:val="00DA6770"/>
    <w:rsid w:val="00DA6F82"/>
    <w:rsid w:val="00DA7819"/>
    <w:rsid w:val="00DA7BF9"/>
    <w:rsid w:val="00DB112B"/>
    <w:rsid w:val="00DB1201"/>
    <w:rsid w:val="00DB236F"/>
    <w:rsid w:val="00DB3844"/>
    <w:rsid w:val="00DB55FC"/>
    <w:rsid w:val="00DB5C4D"/>
    <w:rsid w:val="00DB63D1"/>
    <w:rsid w:val="00DB7DBD"/>
    <w:rsid w:val="00DC1475"/>
    <w:rsid w:val="00DC2181"/>
    <w:rsid w:val="00DC2CC2"/>
    <w:rsid w:val="00DC7275"/>
    <w:rsid w:val="00DC7492"/>
    <w:rsid w:val="00DD0D57"/>
    <w:rsid w:val="00DD0EA3"/>
    <w:rsid w:val="00DD1F9E"/>
    <w:rsid w:val="00DD40C9"/>
    <w:rsid w:val="00DD41C3"/>
    <w:rsid w:val="00DD4446"/>
    <w:rsid w:val="00DD56C1"/>
    <w:rsid w:val="00DD71B2"/>
    <w:rsid w:val="00DD74E9"/>
    <w:rsid w:val="00DD7D2C"/>
    <w:rsid w:val="00DD7E42"/>
    <w:rsid w:val="00DE03AD"/>
    <w:rsid w:val="00DE05EF"/>
    <w:rsid w:val="00DE11CE"/>
    <w:rsid w:val="00DE1580"/>
    <w:rsid w:val="00DE1A09"/>
    <w:rsid w:val="00DE50DE"/>
    <w:rsid w:val="00DE5341"/>
    <w:rsid w:val="00DE646F"/>
    <w:rsid w:val="00DE6EC8"/>
    <w:rsid w:val="00DE78B4"/>
    <w:rsid w:val="00DE7D15"/>
    <w:rsid w:val="00DF06C1"/>
    <w:rsid w:val="00DF0D71"/>
    <w:rsid w:val="00DF2565"/>
    <w:rsid w:val="00DF25C3"/>
    <w:rsid w:val="00E00F6A"/>
    <w:rsid w:val="00E02190"/>
    <w:rsid w:val="00E056AA"/>
    <w:rsid w:val="00E07427"/>
    <w:rsid w:val="00E0759E"/>
    <w:rsid w:val="00E107C3"/>
    <w:rsid w:val="00E11BA4"/>
    <w:rsid w:val="00E125DC"/>
    <w:rsid w:val="00E133FD"/>
    <w:rsid w:val="00E13CEC"/>
    <w:rsid w:val="00E1465E"/>
    <w:rsid w:val="00E1488A"/>
    <w:rsid w:val="00E15853"/>
    <w:rsid w:val="00E15EA8"/>
    <w:rsid w:val="00E165D1"/>
    <w:rsid w:val="00E20A92"/>
    <w:rsid w:val="00E21345"/>
    <w:rsid w:val="00E2289C"/>
    <w:rsid w:val="00E23CBA"/>
    <w:rsid w:val="00E24F0C"/>
    <w:rsid w:val="00E25AE3"/>
    <w:rsid w:val="00E25F80"/>
    <w:rsid w:val="00E264FF"/>
    <w:rsid w:val="00E27B76"/>
    <w:rsid w:val="00E27E7B"/>
    <w:rsid w:val="00E30AB5"/>
    <w:rsid w:val="00E32733"/>
    <w:rsid w:val="00E330BE"/>
    <w:rsid w:val="00E36BBD"/>
    <w:rsid w:val="00E36BC3"/>
    <w:rsid w:val="00E37109"/>
    <w:rsid w:val="00E414E2"/>
    <w:rsid w:val="00E419CC"/>
    <w:rsid w:val="00E42833"/>
    <w:rsid w:val="00E447ED"/>
    <w:rsid w:val="00E463BF"/>
    <w:rsid w:val="00E47304"/>
    <w:rsid w:val="00E47F95"/>
    <w:rsid w:val="00E501D2"/>
    <w:rsid w:val="00E50289"/>
    <w:rsid w:val="00E52B28"/>
    <w:rsid w:val="00E53F62"/>
    <w:rsid w:val="00E54840"/>
    <w:rsid w:val="00E572D2"/>
    <w:rsid w:val="00E57B27"/>
    <w:rsid w:val="00E60F17"/>
    <w:rsid w:val="00E657A6"/>
    <w:rsid w:val="00E65917"/>
    <w:rsid w:val="00E65D64"/>
    <w:rsid w:val="00E66C2A"/>
    <w:rsid w:val="00E70C49"/>
    <w:rsid w:val="00E71345"/>
    <w:rsid w:val="00E71837"/>
    <w:rsid w:val="00E7491B"/>
    <w:rsid w:val="00E74E98"/>
    <w:rsid w:val="00E75C2E"/>
    <w:rsid w:val="00E761B7"/>
    <w:rsid w:val="00E76E04"/>
    <w:rsid w:val="00E77BCF"/>
    <w:rsid w:val="00E81083"/>
    <w:rsid w:val="00E81AB0"/>
    <w:rsid w:val="00E83A3C"/>
    <w:rsid w:val="00E84560"/>
    <w:rsid w:val="00E90DC4"/>
    <w:rsid w:val="00E920C3"/>
    <w:rsid w:val="00E92860"/>
    <w:rsid w:val="00E937A3"/>
    <w:rsid w:val="00E9390F"/>
    <w:rsid w:val="00E95929"/>
    <w:rsid w:val="00E96727"/>
    <w:rsid w:val="00E9776D"/>
    <w:rsid w:val="00E97FE5"/>
    <w:rsid w:val="00EA29F7"/>
    <w:rsid w:val="00EA2C7A"/>
    <w:rsid w:val="00EA315E"/>
    <w:rsid w:val="00EA3A4A"/>
    <w:rsid w:val="00EA4945"/>
    <w:rsid w:val="00EA56C5"/>
    <w:rsid w:val="00EA737D"/>
    <w:rsid w:val="00EB0882"/>
    <w:rsid w:val="00EB0962"/>
    <w:rsid w:val="00EB16BB"/>
    <w:rsid w:val="00EB2995"/>
    <w:rsid w:val="00EB4A3E"/>
    <w:rsid w:val="00EB5783"/>
    <w:rsid w:val="00EB5CFF"/>
    <w:rsid w:val="00EB63CD"/>
    <w:rsid w:val="00EB7FD0"/>
    <w:rsid w:val="00EC0C4F"/>
    <w:rsid w:val="00EC0FD7"/>
    <w:rsid w:val="00EC149F"/>
    <w:rsid w:val="00EC4740"/>
    <w:rsid w:val="00EC4C02"/>
    <w:rsid w:val="00EC784B"/>
    <w:rsid w:val="00EC7926"/>
    <w:rsid w:val="00ED32F6"/>
    <w:rsid w:val="00ED4028"/>
    <w:rsid w:val="00ED43CA"/>
    <w:rsid w:val="00ED5F0C"/>
    <w:rsid w:val="00ED70BC"/>
    <w:rsid w:val="00ED7D89"/>
    <w:rsid w:val="00EE0510"/>
    <w:rsid w:val="00EE220E"/>
    <w:rsid w:val="00EE27E2"/>
    <w:rsid w:val="00EE4149"/>
    <w:rsid w:val="00EE4A5A"/>
    <w:rsid w:val="00EE68F0"/>
    <w:rsid w:val="00EE70AD"/>
    <w:rsid w:val="00EF1D9F"/>
    <w:rsid w:val="00EF2DBD"/>
    <w:rsid w:val="00EF3050"/>
    <w:rsid w:val="00EF3170"/>
    <w:rsid w:val="00EF3615"/>
    <w:rsid w:val="00EF3BF4"/>
    <w:rsid w:val="00EF4F7B"/>
    <w:rsid w:val="00EF554E"/>
    <w:rsid w:val="00EF681B"/>
    <w:rsid w:val="00EF6F73"/>
    <w:rsid w:val="00EF73EE"/>
    <w:rsid w:val="00EF77D4"/>
    <w:rsid w:val="00F00044"/>
    <w:rsid w:val="00F00CC8"/>
    <w:rsid w:val="00F02ECD"/>
    <w:rsid w:val="00F037CD"/>
    <w:rsid w:val="00F03D2F"/>
    <w:rsid w:val="00F06985"/>
    <w:rsid w:val="00F06BBE"/>
    <w:rsid w:val="00F1051D"/>
    <w:rsid w:val="00F127E3"/>
    <w:rsid w:val="00F1388C"/>
    <w:rsid w:val="00F1546E"/>
    <w:rsid w:val="00F1646C"/>
    <w:rsid w:val="00F164A4"/>
    <w:rsid w:val="00F16E5F"/>
    <w:rsid w:val="00F20470"/>
    <w:rsid w:val="00F206D8"/>
    <w:rsid w:val="00F20F9A"/>
    <w:rsid w:val="00F2130F"/>
    <w:rsid w:val="00F22A31"/>
    <w:rsid w:val="00F22B02"/>
    <w:rsid w:val="00F22EFC"/>
    <w:rsid w:val="00F244B9"/>
    <w:rsid w:val="00F25444"/>
    <w:rsid w:val="00F25A50"/>
    <w:rsid w:val="00F25AFD"/>
    <w:rsid w:val="00F25D25"/>
    <w:rsid w:val="00F27EAB"/>
    <w:rsid w:val="00F31026"/>
    <w:rsid w:val="00F326C7"/>
    <w:rsid w:val="00F34BCA"/>
    <w:rsid w:val="00F356DF"/>
    <w:rsid w:val="00F367A6"/>
    <w:rsid w:val="00F36F67"/>
    <w:rsid w:val="00F373B6"/>
    <w:rsid w:val="00F37871"/>
    <w:rsid w:val="00F41E4A"/>
    <w:rsid w:val="00F421DD"/>
    <w:rsid w:val="00F42220"/>
    <w:rsid w:val="00F42C66"/>
    <w:rsid w:val="00F42D8E"/>
    <w:rsid w:val="00F47F09"/>
    <w:rsid w:val="00F504E6"/>
    <w:rsid w:val="00F51952"/>
    <w:rsid w:val="00F51B3B"/>
    <w:rsid w:val="00F52D68"/>
    <w:rsid w:val="00F54172"/>
    <w:rsid w:val="00F54C32"/>
    <w:rsid w:val="00F552B6"/>
    <w:rsid w:val="00F559D2"/>
    <w:rsid w:val="00F55BD1"/>
    <w:rsid w:val="00F57BE6"/>
    <w:rsid w:val="00F60975"/>
    <w:rsid w:val="00F612CB"/>
    <w:rsid w:val="00F614B7"/>
    <w:rsid w:val="00F61EEE"/>
    <w:rsid w:val="00F627A7"/>
    <w:rsid w:val="00F640B4"/>
    <w:rsid w:val="00F6434F"/>
    <w:rsid w:val="00F65F4D"/>
    <w:rsid w:val="00F6626C"/>
    <w:rsid w:val="00F745A4"/>
    <w:rsid w:val="00F75BCB"/>
    <w:rsid w:val="00F7663C"/>
    <w:rsid w:val="00F8014D"/>
    <w:rsid w:val="00F813E2"/>
    <w:rsid w:val="00F838E2"/>
    <w:rsid w:val="00F846BC"/>
    <w:rsid w:val="00F905CC"/>
    <w:rsid w:val="00F90D11"/>
    <w:rsid w:val="00F91E22"/>
    <w:rsid w:val="00F92916"/>
    <w:rsid w:val="00F93570"/>
    <w:rsid w:val="00F9435A"/>
    <w:rsid w:val="00F949D8"/>
    <w:rsid w:val="00F94CEC"/>
    <w:rsid w:val="00F967B9"/>
    <w:rsid w:val="00FA0328"/>
    <w:rsid w:val="00FA0909"/>
    <w:rsid w:val="00FA1436"/>
    <w:rsid w:val="00FA161B"/>
    <w:rsid w:val="00FA1CB7"/>
    <w:rsid w:val="00FA1E14"/>
    <w:rsid w:val="00FA2C5C"/>
    <w:rsid w:val="00FA30B4"/>
    <w:rsid w:val="00FA4B07"/>
    <w:rsid w:val="00FB0129"/>
    <w:rsid w:val="00FB082A"/>
    <w:rsid w:val="00FB0C89"/>
    <w:rsid w:val="00FB36CF"/>
    <w:rsid w:val="00FB3725"/>
    <w:rsid w:val="00FB3E88"/>
    <w:rsid w:val="00FB49CA"/>
    <w:rsid w:val="00FB584F"/>
    <w:rsid w:val="00FB6A4D"/>
    <w:rsid w:val="00FB788D"/>
    <w:rsid w:val="00FC0101"/>
    <w:rsid w:val="00FC064C"/>
    <w:rsid w:val="00FC0B26"/>
    <w:rsid w:val="00FC0E8B"/>
    <w:rsid w:val="00FC144F"/>
    <w:rsid w:val="00FC39D8"/>
    <w:rsid w:val="00FC4E3B"/>
    <w:rsid w:val="00FC63A8"/>
    <w:rsid w:val="00FC6E70"/>
    <w:rsid w:val="00FC7617"/>
    <w:rsid w:val="00FC7A63"/>
    <w:rsid w:val="00FC7D57"/>
    <w:rsid w:val="00FD0AE8"/>
    <w:rsid w:val="00FD0C9E"/>
    <w:rsid w:val="00FD0DC9"/>
    <w:rsid w:val="00FD0F3E"/>
    <w:rsid w:val="00FD2A7B"/>
    <w:rsid w:val="00FD52C6"/>
    <w:rsid w:val="00FD58E9"/>
    <w:rsid w:val="00FD647D"/>
    <w:rsid w:val="00FD6A30"/>
    <w:rsid w:val="00FD6EED"/>
    <w:rsid w:val="00FD7292"/>
    <w:rsid w:val="00FD7414"/>
    <w:rsid w:val="00FD7726"/>
    <w:rsid w:val="00FE0295"/>
    <w:rsid w:val="00FE0369"/>
    <w:rsid w:val="00FE1C1B"/>
    <w:rsid w:val="00FE25D0"/>
    <w:rsid w:val="00FE347E"/>
    <w:rsid w:val="00FE52B3"/>
    <w:rsid w:val="00FE76BA"/>
    <w:rsid w:val="00FF1D6C"/>
    <w:rsid w:val="00FF2F55"/>
    <w:rsid w:val="00FF5B95"/>
    <w:rsid w:val="00FF5F24"/>
    <w:rsid w:val="00FF62DF"/>
    <w:rsid w:val="01104747"/>
    <w:rsid w:val="01EC8750"/>
    <w:rsid w:val="0568FF57"/>
    <w:rsid w:val="05FDE48A"/>
    <w:rsid w:val="0630257E"/>
    <w:rsid w:val="0721C6AF"/>
    <w:rsid w:val="0CFC6D64"/>
    <w:rsid w:val="0D040C24"/>
    <w:rsid w:val="0E7C444C"/>
    <w:rsid w:val="0F97161A"/>
    <w:rsid w:val="10A0725C"/>
    <w:rsid w:val="10FAFEDB"/>
    <w:rsid w:val="11AC5B17"/>
    <w:rsid w:val="13188779"/>
    <w:rsid w:val="14225022"/>
    <w:rsid w:val="15652EB3"/>
    <w:rsid w:val="158E1EA0"/>
    <w:rsid w:val="15FD516C"/>
    <w:rsid w:val="17C39C73"/>
    <w:rsid w:val="183DA0D5"/>
    <w:rsid w:val="186BC8D2"/>
    <w:rsid w:val="18801BAD"/>
    <w:rsid w:val="1A131898"/>
    <w:rsid w:val="1A9F63F4"/>
    <w:rsid w:val="1AE2EB5A"/>
    <w:rsid w:val="1C2F5B63"/>
    <w:rsid w:val="1EDD49D5"/>
    <w:rsid w:val="202FFCB7"/>
    <w:rsid w:val="219240E0"/>
    <w:rsid w:val="22D19E25"/>
    <w:rsid w:val="23085CDD"/>
    <w:rsid w:val="24004E60"/>
    <w:rsid w:val="24352481"/>
    <w:rsid w:val="24EE2BCA"/>
    <w:rsid w:val="25FC5528"/>
    <w:rsid w:val="2627E784"/>
    <w:rsid w:val="26E0FC95"/>
    <w:rsid w:val="270F92FE"/>
    <w:rsid w:val="2783E0C9"/>
    <w:rsid w:val="278EFA6A"/>
    <w:rsid w:val="27EAF1F8"/>
    <w:rsid w:val="27F1A4C8"/>
    <w:rsid w:val="290F76BE"/>
    <w:rsid w:val="29CCD62F"/>
    <w:rsid w:val="2AF2D79D"/>
    <w:rsid w:val="2E0C971C"/>
    <w:rsid w:val="2F0E6EAA"/>
    <w:rsid w:val="2F415A4B"/>
    <w:rsid w:val="2F88E8A2"/>
    <w:rsid w:val="300537C3"/>
    <w:rsid w:val="304B5C96"/>
    <w:rsid w:val="325172E9"/>
    <w:rsid w:val="32ECD1DA"/>
    <w:rsid w:val="33087DA4"/>
    <w:rsid w:val="340D3820"/>
    <w:rsid w:val="347D6EDB"/>
    <w:rsid w:val="37BBE1A1"/>
    <w:rsid w:val="37C4F008"/>
    <w:rsid w:val="382EAE93"/>
    <w:rsid w:val="38FCF75A"/>
    <w:rsid w:val="3A8879E8"/>
    <w:rsid w:val="3A965C4A"/>
    <w:rsid w:val="3B4EEACA"/>
    <w:rsid w:val="3BD4797E"/>
    <w:rsid w:val="3BF03148"/>
    <w:rsid w:val="3C4E42FD"/>
    <w:rsid w:val="3F2D6517"/>
    <w:rsid w:val="3FD9E00B"/>
    <w:rsid w:val="3FEEAD8E"/>
    <w:rsid w:val="407AF46D"/>
    <w:rsid w:val="40B9B7E9"/>
    <w:rsid w:val="41BB8081"/>
    <w:rsid w:val="41D37102"/>
    <w:rsid w:val="42BADD87"/>
    <w:rsid w:val="438E67AD"/>
    <w:rsid w:val="44D5D842"/>
    <w:rsid w:val="49F3C211"/>
    <w:rsid w:val="4B2062CD"/>
    <w:rsid w:val="4B2526B1"/>
    <w:rsid w:val="4B5C7E1B"/>
    <w:rsid w:val="4B856E3E"/>
    <w:rsid w:val="4BE481CB"/>
    <w:rsid w:val="4E5EA64A"/>
    <w:rsid w:val="4E93E7BB"/>
    <w:rsid w:val="51055AEC"/>
    <w:rsid w:val="5180B51C"/>
    <w:rsid w:val="5327185B"/>
    <w:rsid w:val="55BF3E60"/>
    <w:rsid w:val="55FCB6F0"/>
    <w:rsid w:val="56895848"/>
    <w:rsid w:val="57969BCC"/>
    <w:rsid w:val="58768BDE"/>
    <w:rsid w:val="592ABE11"/>
    <w:rsid w:val="596C40D9"/>
    <w:rsid w:val="5A5AFC88"/>
    <w:rsid w:val="5AAF89A7"/>
    <w:rsid w:val="5B80B5EA"/>
    <w:rsid w:val="5C518322"/>
    <w:rsid w:val="5C66184C"/>
    <w:rsid w:val="5D9E6E55"/>
    <w:rsid w:val="5F2A4FDE"/>
    <w:rsid w:val="5F547F7A"/>
    <w:rsid w:val="61CADD03"/>
    <w:rsid w:val="61EF6589"/>
    <w:rsid w:val="63E9E21A"/>
    <w:rsid w:val="6401776E"/>
    <w:rsid w:val="6494EBB0"/>
    <w:rsid w:val="65A1CE80"/>
    <w:rsid w:val="672802D6"/>
    <w:rsid w:val="69414FF7"/>
    <w:rsid w:val="6985FBA7"/>
    <w:rsid w:val="69BFD5F6"/>
    <w:rsid w:val="6C5F2091"/>
    <w:rsid w:val="717A9AE3"/>
    <w:rsid w:val="737EE34B"/>
    <w:rsid w:val="7457C1EE"/>
    <w:rsid w:val="76FE2F3B"/>
    <w:rsid w:val="77D9C4C7"/>
    <w:rsid w:val="78C23404"/>
    <w:rsid w:val="78E6DFBB"/>
    <w:rsid w:val="7924D2A9"/>
    <w:rsid w:val="7A324F11"/>
    <w:rsid w:val="7CD4215E"/>
    <w:rsid w:val="7CD70992"/>
    <w:rsid w:val="7D12D818"/>
    <w:rsid w:val="7D79B19C"/>
    <w:rsid w:val="7F94B0A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71BC62"/>
  <w15:chartTrackingRefBased/>
  <w15:docId w15:val="{E89C0D6D-0B87-457D-8BA6-0310BC7DA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744C"/>
    <w:pPr>
      <w:spacing w:before="240" w:after="240" w:line="276" w:lineRule="auto"/>
      <w:ind w:left="1418"/>
    </w:pPr>
    <w:rPr>
      <w:sz w:val="22"/>
      <w:szCs w:val="22"/>
    </w:rPr>
  </w:style>
  <w:style w:type="paragraph" w:styleId="Heading1">
    <w:name w:val="heading 1"/>
    <w:basedOn w:val="Normal"/>
    <w:next w:val="Normal"/>
    <w:link w:val="Heading1Char"/>
    <w:uiPriority w:val="9"/>
    <w:qFormat/>
    <w:rsid w:val="003F0B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87142"/>
    <w:pPr>
      <w:keepNext/>
      <w:keepLines/>
      <w:spacing w:before="120" w:after="120"/>
      <w:outlineLvl w:val="1"/>
    </w:pPr>
    <w:rPr>
      <w:rFonts w:ascii="Helvetica" w:eastAsiaTheme="majorEastAsia" w:hAnsi="Helvetica" w:cs="Times New Roman (Headings CS)"/>
      <w:color w:val="0F4761" w:themeColor="accent1" w:themeShade="BF"/>
      <w:spacing w:val="20"/>
    </w:rPr>
  </w:style>
  <w:style w:type="paragraph" w:styleId="Heading3">
    <w:name w:val="heading 3"/>
    <w:basedOn w:val="Normal"/>
    <w:next w:val="Normal"/>
    <w:link w:val="Heading3Char"/>
    <w:uiPriority w:val="9"/>
    <w:unhideWhenUsed/>
    <w:qFormat/>
    <w:rsid w:val="007B1035"/>
    <w:pPr>
      <w:keepNext/>
      <w:keepLines/>
      <w:numPr>
        <w:numId w:val="6"/>
      </w:numPr>
      <w:spacing w:before="160" w:after="80"/>
      <w:outlineLvl w:val="2"/>
    </w:pPr>
    <w:rPr>
      <w:rFonts w:eastAsiaTheme="majorEastAsia" w:cstheme="majorBidi"/>
      <w:b/>
      <w:bCs/>
      <w:color w:val="0F4761" w:themeColor="accent1" w:themeShade="BF"/>
    </w:rPr>
  </w:style>
  <w:style w:type="paragraph" w:styleId="Heading4">
    <w:name w:val="heading 4"/>
    <w:basedOn w:val="Normal"/>
    <w:next w:val="Normal"/>
    <w:link w:val="Heading4Char"/>
    <w:uiPriority w:val="9"/>
    <w:semiHidden/>
    <w:unhideWhenUsed/>
    <w:qFormat/>
    <w:rsid w:val="003F0B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0B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0BD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0BD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0BD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0BD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qFormat/>
    <w:rsid w:val="004C2D1D"/>
    <w:rPr>
      <w:color w:val="156082" w:themeColor="accent1"/>
      <w:u w:val="single"/>
    </w:rPr>
  </w:style>
  <w:style w:type="character" w:customStyle="1" w:styleId="Heading1Char">
    <w:name w:val="Heading 1 Char"/>
    <w:basedOn w:val="DefaultParagraphFont"/>
    <w:link w:val="Heading1"/>
    <w:uiPriority w:val="9"/>
    <w:rsid w:val="003F0B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87142"/>
    <w:rPr>
      <w:rFonts w:ascii="Helvetica" w:eastAsiaTheme="majorEastAsia" w:hAnsi="Helvetica" w:cs="Times New Roman (Headings CS)"/>
      <w:color w:val="0F4761" w:themeColor="accent1" w:themeShade="BF"/>
      <w:spacing w:val="20"/>
      <w:sz w:val="22"/>
      <w:szCs w:val="22"/>
    </w:rPr>
  </w:style>
  <w:style w:type="character" w:customStyle="1" w:styleId="Heading3Char">
    <w:name w:val="Heading 3 Char"/>
    <w:basedOn w:val="DefaultParagraphFont"/>
    <w:link w:val="Heading3"/>
    <w:uiPriority w:val="9"/>
    <w:rsid w:val="007B1035"/>
    <w:rPr>
      <w:rFonts w:eastAsiaTheme="majorEastAsia" w:cstheme="majorBidi"/>
      <w:b/>
      <w:bCs/>
      <w:color w:val="0F4761" w:themeColor="accent1" w:themeShade="BF"/>
      <w:sz w:val="22"/>
      <w:szCs w:val="22"/>
    </w:rPr>
  </w:style>
  <w:style w:type="character" w:customStyle="1" w:styleId="Heading4Char">
    <w:name w:val="Heading 4 Char"/>
    <w:basedOn w:val="DefaultParagraphFont"/>
    <w:link w:val="Heading4"/>
    <w:uiPriority w:val="9"/>
    <w:semiHidden/>
    <w:rsid w:val="003F0B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F0B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F0B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0B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0B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0BDA"/>
    <w:rPr>
      <w:rFonts w:eastAsiaTheme="majorEastAsia" w:cstheme="majorBidi"/>
      <w:color w:val="272727" w:themeColor="text1" w:themeTint="D8"/>
    </w:rPr>
  </w:style>
  <w:style w:type="paragraph" w:styleId="Title">
    <w:name w:val="Title"/>
    <w:basedOn w:val="Normal"/>
    <w:next w:val="Normal"/>
    <w:link w:val="TitleChar"/>
    <w:uiPriority w:val="10"/>
    <w:qFormat/>
    <w:rsid w:val="003F0BD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0B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0BDA"/>
    <w:pPr>
      <w:numPr>
        <w:ilvl w:val="1"/>
      </w:numPr>
      <w:spacing w:after="160"/>
      <w:ind w:left="1701"/>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0B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0BD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F0BDA"/>
    <w:rPr>
      <w:i/>
      <w:iCs/>
      <w:color w:val="404040" w:themeColor="text1" w:themeTint="BF"/>
    </w:rPr>
  </w:style>
  <w:style w:type="paragraph" w:styleId="ListParagraph">
    <w:name w:val="List Paragraph"/>
    <w:basedOn w:val="Normal"/>
    <w:uiPriority w:val="34"/>
    <w:qFormat/>
    <w:rsid w:val="00196E55"/>
    <w:pPr>
      <w:ind w:left="720"/>
    </w:pPr>
  </w:style>
  <w:style w:type="character" w:styleId="IntenseEmphasis">
    <w:name w:val="Intense Emphasis"/>
    <w:basedOn w:val="DefaultParagraphFont"/>
    <w:uiPriority w:val="21"/>
    <w:qFormat/>
    <w:rsid w:val="003F0BDA"/>
    <w:rPr>
      <w:i/>
      <w:iCs/>
      <w:color w:val="0F4761" w:themeColor="accent1" w:themeShade="BF"/>
    </w:rPr>
  </w:style>
  <w:style w:type="paragraph" w:styleId="IntenseQuote">
    <w:name w:val="Intense Quote"/>
    <w:basedOn w:val="Normal"/>
    <w:next w:val="Normal"/>
    <w:link w:val="IntenseQuoteChar"/>
    <w:uiPriority w:val="30"/>
    <w:qFormat/>
    <w:rsid w:val="003F0B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0BDA"/>
    <w:rPr>
      <w:i/>
      <w:iCs/>
      <w:color w:val="0F4761" w:themeColor="accent1" w:themeShade="BF"/>
    </w:rPr>
  </w:style>
  <w:style w:type="character" w:styleId="IntenseReference">
    <w:name w:val="Intense Reference"/>
    <w:basedOn w:val="DefaultParagraphFont"/>
    <w:uiPriority w:val="32"/>
    <w:qFormat/>
    <w:rsid w:val="003F0BDA"/>
    <w:rPr>
      <w:b/>
      <w:bCs/>
      <w:smallCaps/>
      <w:color w:val="0F4761" w:themeColor="accent1" w:themeShade="BF"/>
      <w:spacing w:val="5"/>
    </w:rPr>
  </w:style>
  <w:style w:type="paragraph" w:styleId="EndnoteText">
    <w:name w:val="endnote text"/>
    <w:basedOn w:val="Normal"/>
    <w:link w:val="EndnoteTextChar"/>
    <w:uiPriority w:val="99"/>
    <w:unhideWhenUsed/>
    <w:rsid w:val="00083ACB"/>
    <w:rPr>
      <w:sz w:val="20"/>
      <w:szCs w:val="20"/>
    </w:rPr>
  </w:style>
  <w:style w:type="character" w:customStyle="1" w:styleId="EndnoteTextChar">
    <w:name w:val="Endnote Text Char"/>
    <w:basedOn w:val="DefaultParagraphFont"/>
    <w:link w:val="EndnoteText"/>
    <w:uiPriority w:val="99"/>
    <w:rsid w:val="00083ACB"/>
    <w:rPr>
      <w:sz w:val="20"/>
      <w:szCs w:val="20"/>
    </w:rPr>
  </w:style>
  <w:style w:type="character" w:styleId="EndnoteReference">
    <w:name w:val="endnote reference"/>
    <w:basedOn w:val="DefaultParagraphFont"/>
    <w:uiPriority w:val="99"/>
    <w:semiHidden/>
    <w:unhideWhenUsed/>
    <w:rsid w:val="00083ACB"/>
    <w:rPr>
      <w:vertAlign w:val="superscript"/>
    </w:rPr>
  </w:style>
  <w:style w:type="paragraph" w:styleId="FootnoteText">
    <w:name w:val="footnote text"/>
    <w:basedOn w:val="Normal"/>
    <w:link w:val="FootnoteTextChar"/>
    <w:uiPriority w:val="99"/>
    <w:unhideWhenUsed/>
    <w:rsid w:val="004A1DC5"/>
    <w:pPr>
      <w:spacing w:after="0"/>
    </w:pPr>
    <w:rPr>
      <w:sz w:val="20"/>
      <w:szCs w:val="20"/>
    </w:rPr>
  </w:style>
  <w:style w:type="character" w:customStyle="1" w:styleId="FootnoteTextChar">
    <w:name w:val="Footnote Text Char"/>
    <w:basedOn w:val="DefaultParagraphFont"/>
    <w:link w:val="FootnoteText"/>
    <w:uiPriority w:val="99"/>
    <w:rsid w:val="004A1DC5"/>
    <w:rPr>
      <w:sz w:val="20"/>
      <w:szCs w:val="20"/>
    </w:rPr>
  </w:style>
  <w:style w:type="character" w:styleId="FootnoteReference">
    <w:name w:val="footnote reference"/>
    <w:basedOn w:val="DefaultParagraphFont"/>
    <w:uiPriority w:val="99"/>
    <w:semiHidden/>
    <w:unhideWhenUsed/>
    <w:rsid w:val="00655C1E"/>
    <w:rPr>
      <w:vertAlign w:val="superscript"/>
    </w:rPr>
  </w:style>
  <w:style w:type="paragraph" w:styleId="NoSpacing">
    <w:name w:val="No Spacing"/>
    <w:uiPriority w:val="1"/>
    <w:qFormat/>
    <w:rsid w:val="007B748E"/>
    <w:pPr>
      <w:ind w:left="1418"/>
    </w:pPr>
    <w:rPr>
      <w:sz w:val="22"/>
      <w:szCs w:val="22"/>
    </w:rPr>
  </w:style>
  <w:style w:type="paragraph" w:styleId="NormalWeb">
    <w:name w:val="Normal (Web)"/>
    <w:basedOn w:val="Normal"/>
    <w:uiPriority w:val="99"/>
    <w:semiHidden/>
    <w:unhideWhenUsed/>
    <w:rsid w:val="00534073"/>
    <w:rPr>
      <w:rFonts w:ascii="Times New Roman" w:hAnsi="Times New Roman" w:cs="Times New Roman"/>
      <w:sz w:val="24"/>
      <w:szCs w:val="24"/>
    </w:rPr>
  </w:style>
  <w:style w:type="character" w:styleId="Strong">
    <w:name w:val="Strong"/>
    <w:basedOn w:val="DefaultParagraphFont"/>
    <w:uiPriority w:val="22"/>
    <w:qFormat/>
    <w:rsid w:val="00FC0B26"/>
    <w:rPr>
      <w:b/>
      <w:bCs/>
    </w:rPr>
  </w:style>
  <w:style w:type="character" w:styleId="Hyperlink">
    <w:name w:val="Hyperlink"/>
    <w:basedOn w:val="DefaultParagraphFont"/>
    <w:uiPriority w:val="99"/>
    <w:unhideWhenUsed/>
    <w:rsid w:val="00110BA5"/>
    <w:rPr>
      <w:color w:val="467886" w:themeColor="hyperlink"/>
      <w:u w:val="single"/>
    </w:rPr>
  </w:style>
  <w:style w:type="character" w:styleId="UnresolvedMention">
    <w:name w:val="Unresolved Mention"/>
    <w:basedOn w:val="DefaultParagraphFont"/>
    <w:uiPriority w:val="99"/>
    <w:semiHidden/>
    <w:unhideWhenUsed/>
    <w:rsid w:val="00110BA5"/>
    <w:rPr>
      <w:color w:val="605E5C"/>
      <w:shd w:val="clear" w:color="auto" w:fill="E1DFDD"/>
    </w:rPr>
  </w:style>
  <w:style w:type="paragraph" w:styleId="Footer">
    <w:name w:val="footer"/>
    <w:basedOn w:val="Normal"/>
    <w:link w:val="FooterChar"/>
    <w:uiPriority w:val="99"/>
    <w:unhideWhenUsed/>
    <w:rsid w:val="007D4137"/>
    <w:pPr>
      <w:tabs>
        <w:tab w:val="center" w:pos="4513"/>
        <w:tab w:val="right" w:pos="9026"/>
      </w:tabs>
      <w:spacing w:after="0"/>
    </w:pPr>
  </w:style>
  <w:style w:type="character" w:customStyle="1" w:styleId="FooterChar">
    <w:name w:val="Footer Char"/>
    <w:basedOn w:val="DefaultParagraphFont"/>
    <w:link w:val="Footer"/>
    <w:uiPriority w:val="99"/>
    <w:rsid w:val="007D4137"/>
    <w:rPr>
      <w:sz w:val="22"/>
      <w:szCs w:val="22"/>
    </w:rPr>
  </w:style>
  <w:style w:type="character" w:styleId="PageNumber">
    <w:name w:val="page number"/>
    <w:basedOn w:val="DefaultParagraphFont"/>
    <w:uiPriority w:val="99"/>
    <w:semiHidden/>
    <w:unhideWhenUsed/>
    <w:rsid w:val="007D4137"/>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FF2F55"/>
    <w:rPr>
      <w:sz w:val="22"/>
      <w:szCs w:val="22"/>
    </w:rPr>
  </w:style>
  <w:style w:type="paragraph" w:styleId="CommentSubject">
    <w:name w:val="annotation subject"/>
    <w:basedOn w:val="CommentText"/>
    <w:next w:val="CommentText"/>
    <w:link w:val="CommentSubjectChar"/>
    <w:uiPriority w:val="99"/>
    <w:semiHidden/>
    <w:unhideWhenUsed/>
    <w:rsid w:val="00FF2F55"/>
    <w:rPr>
      <w:b/>
      <w:bCs/>
    </w:rPr>
  </w:style>
  <w:style w:type="character" w:customStyle="1" w:styleId="CommentSubjectChar">
    <w:name w:val="Comment Subject Char"/>
    <w:basedOn w:val="CommentTextChar"/>
    <w:link w:val="CommentSubject"/>
    <w:uiPriority w:val="99"/>
    <w:semiHidden/>
    <w:rsid w:val="00FF2F55"/>
    <w:rPr>
      <w:b/>
      <w:bCs/>
      <w:sz w:val="20"/>
      <w:szCs w:val="20"/>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7294289">
      <w:bodyDiv w:val="1"/>
      <w:marLeft w:val="0"/>
      <w:marRight w:val="0"/>
      <w:marTop w:val="0"/>
      <w:marBottom w:val="0"/>
      <w:divBdr>
        <w:top w:val="none" w:sz="0" w:space="0" w:color="auto"/>
        <w:left w:val="none" w:sz="0" w:space="0" w:color="auto"/>
        <w:bottom w:val="none" w:sz="0" w:space="0" w:color="auto"/>
        <w:right w:val="none" w:sz="0" w:space="0" w:color="auto"/>
      </w:divBdr>
    </w:div>
    <w:div w:id="984891304">
      <w:bodyDiv w:val="1"/>
      <w:marLeft w:val="0"/>
      <w:marRight w:val="0"/>
      <w:marTop w:val="0"/>
      <w:marBottom w:val="0"/>
      <w:divBdr>
        <w:top w:val="none" w:sz="0" w:space="0" w:color="auto"/>
        <w:left w:val="none" w:sz="0" w:space="0" w:color="auto"/>
        <w:bottom w:val="none" w:sz="0" w:space="0" w:color="auto"/>
        <w:right w:val="none" w:sz="0" w:space="0" w:color="auto"/>
      </w:divBdr>
    </w:div>
    <w:div w:id="1299914235">
      <w:bodyDiv w:val="1"/>
      <w:marLeft w:val="0"/>
      <w:marRight w:val="0"/>
      <w:marTop w:val="0"/>
      <w:marBottom w:val="0"/>
      <w:divBdr>
        <w:top w:val="none" w:sz="0" w:space="0" w:color="auto"/>
        <w:left w:val="none" w:sz="0" w:space="0" w:color="auto"/>
        <w:bottom w:val="none" w:sz="0" w:space="0" w:color="auto"/>
        <w:right w:val="none" w:sz="0" w:space="0" w:color="auto"/>
      </w:divBdr>
    </w:div>
    <w:div w:id="1515341037">
      <w:bodyDiv w:val="1"/>
      <w:marLeft w:val="0"/>
      <w:marRight w:val="0"/>
      <w:marTop w:val="0"/>
      <w:marBottom w:val="0"/>
      <w:divBdr>
        <w:top w:val="none" w:sz="0" w:space="0" w:color="auto"/>
        <w:left w:val="none" w:sz="0" w:space="0" w:color="auto"/>
        <w:bottom w:val="none" w:sz="0" w:space="0" w:color="auto"/>
        <w:right w:val="none" w:sz="0" w:space="0" w:color="auto"/>
      </w:divBdr>
    </w:div>
    <w:div w:id="1535849647">
      <w:bodyDiv w:val="1"/>
      <w:marLeft w:val="0"/>
      <w:marRight w:val="0"/>
      <w:marTop w:val="0"/>
      <w:marBottom w:val="0"/>
      <w:divBdr>
        <w:top w:val="none" w:sz="0" w:space="0" w:color="auto"/>
        <w:left w:val="none" w:sz="0" w:space="0" w:color="auto"/>
        <w:bottom w:val="none" w:sz="0" w:space="0" w:color="auto"/>
        <w:right w:val="none" w:sz="0" w:space="0" w:color="auto"/>
      </w:divBdr>
    </w:div>
    <w:div w:id="1640912400">
      <w:bodyDiv w:val="1"/>
      <w:marLeft w:val="0"/>
      <w:marRight w:val="0"/>
      <w:marTop w:val="0"/>
      <w:marBottom w:val="0"/>
      <w:divBdr>
        <w:top w:val="none" w:sz="0" w:space="0" w:color="auto"/>
        <w:left w:val="none" w:sz="0" w:space="0" w:color="auto"/>
        <w:bottom w:val="none" w:sz="0" w:space="0" w:color="auto"/>
        <w:right w:val="none" w:sz="0" w:space="0" w:color="auto"/>
      </w:divBdr>
    </w:div>
    <w:div w:id="1706826425">
      <w:bodyDiv w:val="1"/>
      <w:marLeft w:val="0"/>
      <w:marRight w:val="0"/>
      <w:marTop w:val="0"/>
      <w:marBottom w:val="0"/>
      <w:divBdr>
        <w:top w:val="none" w:sz="0" w:space="0" w:color="auto"/>
        <w:left w:val="none" w:sz="0" w:space="0" w:color="auto"/>
        <w:bottom w:val="none" w:sz="0" w:space="0" w:color="auto"/>
        <w:right w:val="none" w:sz="0" w:space="0" w:color="auto"/>
      </w:divBdr>
    </w:div>
    <w:div w:id="1708407130">
      <w:bodyDiv w:val="1"/>
      <w:marLeft w:val="0"/>
      <w:marRight w:val="0"/>
      <w:marTop w:val="0"/>
      <w:marBottom w:val="0"/>
      <w:divBdr>
        <w:top w:val="none" w:sz="0" w:space="0" w:color="auto"/>
        <w:left w:val="none" w:sz="0" w:space="0" w:color="auto"/>
        <w:bottom w:val="none" w:sz="0" w:space="0" w:color="auto"/>
        <w:right w:val="none" w:sz="0" w:space="0" w:color="auto"/>
      </w:divBdr>
    </w:div>
    <w:div w:id="1905875405">
      <w:bodyDiv w:val="1"/>
      <w:marLeft w:val="0"/>
      <w:marRight w:val="0"/>
      <w:marTop w:val="0"/>
      <w:marBottom w:val="0"/>
      <w:divBdr>
        <w:top w:val="none" w:sz="0" w:space="0" w:color="auto"/>
        <w:left w:val="none" w:sz="0" w:space="0" w:color="auto"/>
        <w:bottom w:val="none" w:sz="0" w:space="0" w:color="auto"/>
        <w:right w:val="none" w:sz="0" w:space="0" w:color="auto"/>
      </w:divBdr>
    </w:div>
    <w:div w:id="2097095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hyperlink" Target="https://srhrconsortium.org/" TargetMode="External"/><Relationship Id="rId14" Type="http://schemas.openxmlformats.org/officeDocument/2006/relationships/image" Target="media/image6.png"/><Relationship Id="rId22" Type="http://schemas.openxmlformats.org/officeDocument/2006/relationships/footer" Target="footer2.xml"/></Relationships>
</file>

<file path=word/_rels/endnotes.xml.rels><?xml version="1.0" encoding="UTF-8" standalone="yes"?>
<Relationships xmlns="http://schemas.openxmlformats.org/package/2006/relationships"><Relationship Id="rId3" Type="http://schemas.openxmlformats.org/officeDocument/2006/relationships/hyperlink" Target="https://www.who.int/publications/i/item/9789240052659" TargetMode="External"/><Relationship Id="rId2" Type="http://schemas.openxmlformats.org/officeDocument/2006/relationships/hyperlink" Target="https://asiapacific.unfpa.org/en/publications/universal-health-coverage-sexual-and-reproductive-health-asia-pacific" TargetMode="External"/><Relationship Id="rId1" Type="http://schemas.openxmlformats.org/officeDocument/2006/relationships/hyperlink" Target="https://asiapacific.unfpa.org/sites/default/files/pub-pdf/UNFPA%20SHR%20YP%20AP_2015%20for%20web-final.pdf"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srhrconsortiu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DAC1EC-C439-DD47-84D5-DBFF41D062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1263</Words>
  <Characters>7204</Characters>
  <Application>Microsoft Office Word</Application>
  <DocSecurity>0</DocSecurity>
  <Lines>60</Lines>
  <Paragraphs>16</Paragraphs>
  <ScaleCrop>false</ScaleCrop>
  <Company/>
  <LinksUpToDate>false</LinksUpToDate>
  <CharactersWithSpaces>8451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Zeshi Fisher</dc:creator>
  <cp:keywords/>
  <dc:description/>
  <cp:lastModifiedBy>Keely Moloney</cp:lastModifiedBy>
  <cp:revision>2</cp:revision>
  <cp:lastPrinted>2025-03-20T02:56:00Z</cp:lastPrinted>
  <dcterms:created xsi:type="dcterms:W3CDTF">2025-07-30T05:00:00Z</dcterms:created>
  <dcterms:modified xsi:type="dcterms:W3CDTF">2025-07-30T05:00:00Z</dcterms:modified>
</cp:coreProperties>
</file>